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49" w:beforeLines="400" w:line="11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w w:val="48"/>
          <w:sz w:val="96"/>
          <w:szCs w:val="96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w w:val="48"/>
          <w:sz w:val="96"/>
          <w:szCs w:val="96"/>
        </w:rPr>
        <w:t>贵州新石高速公路建设有限</w:t>
      </w:r>
      <w:r>
        <w:rPr>
          <w:rFonts w:hint="eastAsia" w:ascii="宋体" w:hAnsi="宋体" w:eastAsia="宋体" w:cs="宋体"/>
          <w:b/>
          <w:bCs/>
          <w:color w:val="FF0000"/>
          <w:w w:val="48"/>
          <w:sz w:val="96"/>
          <w:szCs w:val="96"/>
          <w:lang w:eastAsia="zh-CN"/>
        </w:rPr>
        <w:t>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96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140970</wp:posOffset>
                </wp:positionV>
                <wp:extent cx="5620385" cy="1270"/>
                <wp:effectExtent l="0" t="0" r="0" b="0"/>
                <wp:wrapNone/>
                <wp:docPr id="10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0385" cy="12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>
                              <a:alpha val="92000"/>
                            </a:srgbClr>
                          </a:solidFill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6.55pt;margin-top:11.1pt;height:0.1pt;width:442.55pt;z-index:251661312;mso-width-relative:page;mso-height-relative:page;" filled="f" stroked="t" coordsize="21600,21600" o:gfxdata="UEsDBAoAAAAAAIdO4kAAAAAAAAAAAAAAAAAEAAAAZHJzL1BLAwQUAAAACACHTuJAzE01M9gAAAAJ&#10;AQAADwAAAGRycy9kb3ducmV2LnhtbE2PTW+DMAyG75P2HyJP2q0NpPtoKaGaJk3aadJoDzsayICW&#10;OIiEQv/93NN6tP3o9fOmu9l24mwG3zrSEC8jEIZKV7VUazjsPxZrED4gVdg5MhouxsMuu79LManc&#10;RN/mnIdacAj5BDU0IfSJlL5sjEW/dL0hvv26wWLgcahlNeDE4baTKopepMWW+EODvXlvTHnKR6vB&#10;Hufjz/PXJS+n/QHfPufNqhg3Wj8+xNEWRDBz+Ifhqs/qkLFT4UaqvOg0LOJVzKgGpRQIBtavissV&#10;18UTyCyVtw2yP1BLAwQUAAAACACHTuJAoGInihwCAABGBAAADgAAAGRycy9lMm9Eb2MueG1srVNL&#10;jhMxEN0jcQfLe9KdoBlCK51ZTAgbBJEY2Ff86bbkn2wnnZyFa7Biw3HmGpTdPQGGTRb0omW7yq/q&#10;vXpe3Z2MJkcRonK2pfNZTYmwzHFlu5Z+edi+WlISE1gO2lnR0rOI9G798sVq8I1YuN5pLgJBEBub&#10;wbe0T8k3VRVZLwzEmfPCYlC6YCDhNnQVDzAgutHVoq5vq8EF7oNjIkY83YxBOiGGawCdlIqJjWMH&#10;I2waUYPQkJBS7JWPdF26lVKw9EnKKBLRLUWmqfyxCK73+V+tV9B0AXyv2NQCXNPCM04GlMWiF6gN&#10;JCCHoP6BMooFF51MM+ZMNRIpiiCLef1Mm889eFG4oNTRX0SP/w+WfTzuAlEcnYCSWDA48cdv3x9/&#10;/CTLLM7gY4M593YXpl30u5CZnmQwRGrlv+Ldwh3ZkFOR9nyRVpwSYXh4c7uoXy9vKGEYmy/eFOWr&#10;ESWj+RDTe+EMyYuWamUzcWjg+CEmrIypTyn52Lqt0roMT1syjJBIgAE6UqITcGk8soq2owR0h1Zn&#10;KRTI6LTi+XoGiqHb3+tAjoAG2W5r/Ma62vcwnr5F1z61O6WXfv7Cyc1tIPbjlRIavWVUwueilWnp&#10;MqNPlusF8HeWk3T2qLjFl0YzDSM4JVpgt3lV+CVQ+ppMVEjbTEkU20+y5fmNE8urveNnHPfBB9X1&#10;KPM8l6hyBO1VSE1PIfv3z33J+v381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E01M9gAAAAJ&#10;AQAADwAAAAAAAAABACAAAAAiAAAAZHJzL2Rvd25yZXYueG1sUEsBAhQAFAAAAAgAh07iQKBiJ4oc&#10;AgAARgQAAA4AAAAAAAAAAQAgAAAAJwEAAGRycy9lMm9Eb2MueG1sUEsFBgAAAAAGAAYAWQEAALUF&#10;AAAAAA==&#10;">
                <v:fill on="f" focussize="0,0"/>
                <v:stroke weight="1pt" color="#FF0000 [3205]" opacity="60293f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63500</wp:posOffset>
                </wp:positionV>
                <wp:extent cx="5631815" cy="1270"/>
                <wp:effectExtent l="0" t="22225" r="6985" b="33655"/>
                <wp:wrapNone/>
                <wp:docPr id="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1815" cy="127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>
                              <a:alpha val="92000"/>
                            </a:srgbClr>
                          </a:solidFill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6.05pt;margin-top:5pt;height:0.1pt;width:443.45pt;z-index:251660288;mso-width-relative:page;mso-height-relative:page;" filled="f" stroked="t" coordsize="21600,21600" o:gfxdata="UEsDBAoAAAAAAIdO4kAAAAAAAAAAAAAAAAAEAAAAZHJzL1BLAwQUAAAACACHTuJAvkV+0tYAAAAJ&#10;AQAADwAAAGRycy9kb3ducmV2LnhtbE2PPU/DMBCGdyT+g3VIbK2dUEGbxulQCXVADG1hd+JrEhGf&#10;Q+w0pb+e6wTj3fvo/cg3F9eJMw6h9aQhmSsQSJW3LdUaPo6vsyWIEA1Z03lCDT8YYFPc3+Ums36i&#10;PZ4PsRZsQiEzGpoY+0zKUDXoTJj7Hom1kx+ciXwOtbSDmdjcdTJV6lk60xInNKbHbYPV12F0HPJ5&#10;RLt7/96P1+m6ejotyu1uetP68SFRaxARL/EPhlt9rg4Fdyr9SDaITsMsSRNGWVC8iYHly4K3lLdH&#10;CrLI5f8FxS9QSwMEFAAAAAgAh07iQIdMCGIgAgAARQQAAA4AAABkcnMvZTJvRG9jLnhtbK1TzY7T&#10;MBC+I/EOlu80TWmXbtR0D1vKBUGlBe5T20ks+U+227TPwmtw4sLj7GswdrJlWS49kEM09ow/z/fN&#10;59XdSStyFD5Ia2paTqaUCMMsl6at6dcv2zdLSkIEw0FZI2p6FoHerV+/WvWuEjPbWcWFJwhiQtW7&#10;mnYxuqooAuuEhjCxThhMNtZriLj0bcE99IiuVTGbTm+K3nruvGUiBNzdDEk6IvprAG3TSCY2lh20&#10;MHFA9UJBREqhky7Qde62aQSLn5smiEhUTZFpzH+8BON9+hfrFVStB9dJNrYA17TwgpMGafDSC9QG&#10;IpCDl/9Aacm8DbaJE2Z1MRDJiiCLcvpCm4cOnMhcUOrgLqKH/wfLPh13nkiOTqDEgMaBP37/8fjz&#10;F1kmbXoXKiy5Nzs/roLb+UT01HhNGiXdt3Q07SAZcsrKni/KilMkDDcXN2/LZbmghGGunL3LwhcD&#10;SjrrfIgfhNUkBTVV0iTeUMHxY4h4M5Y+laRtY7dSqTw7ZUhf0/l8vsCRMkBDNmgEDLVDUsG0lIBq&#10;0eks+gwZrJI8HU9Awbf7e+XJEdAf2+0Uv+Fe5ToYdm/RtE/tjuW5n79wUnMbCN1wJKcGa2kZ8bUo&#10;qWu6TOij4zoB/L3hJJ4dKm7wodFEQwtOiRLYbYoyvwhSXVOJCimTKIns+lG2NL9hYinaW37GaR+c&#10;l22HMpfpiiJl0F2Z1PgSkn2fr3PVn9e//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+RX7S1gAA&#10;AAkBAAAPAAAAAAAAAAEAIAAAACIAAABkcnMvZG93bnJldi54bWxQSwECFAAUAAAACACHTuJAh0wI&#10;YiACAABFBAAADgAAAAAAAAABACAAAAAlAQAAZHJzL2Uyb0RvYy54bWxQSwUGAAAAAAYABgBZAQAA&#10;twUAAAAA&#10;">
                <v:fill on="f" focussize="0,0"/>
                <v:stroke weight="3.5pt" color="#FF0000 [3205]" opacity="60293f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贵州新石</w:t>
      </w:r>
      <w:r>
        <w:rPr>
          <w:rFonts w:hint="eastAsia" w:ascii="方正小标宋简体" w:eastAsia="方正小标宋简体"/>
          <w:sz w:val="44"/>
          <w:szCs w:val="44"/>
        </w:rPr>
        <w:t>高速公路建设有限公司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eastAsia="方正小标宋简体"/>
          <w:sz w:val="44"/>
          <w:szCs w:val="44"/>
        </w:rPr>
        <w:t>招聘营运工作人员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新石高速公路建设有限公司（以下简称“公司”）于2017年10月成立，由公司承建的湄潭至石阡高速公路项目于2021年11月3日开通收费，正式进入营运管理阶段。湄石高速主线及联络线全长共计112.977公里，路线经新蒲新区、湄潭县、凤冈县、余庆县、思南县、石阡县一区五县。主线采用双向四车道高速公路标准建设，新舟机场联络线采用双向四车道一级公路标准建设。该条高速公路为贵州东部出省重要通道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根据工作需要，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结合公司当前实际需求，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面向社会公开招聘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营运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公告如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一、公开招聘岗位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及人数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机电管理部副部长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二、招聘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认真贯彻执行党的基本路线、方针、政策，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拥护中国共产党的领导，热爱祖国、热爱社会主义，遵纪守法、品行端正，有良好的职业道德，爱岗敬业，</w:t>
      </w:r>
      <w:r>
        <w:rPr>
          <w:rFonts w:hint="eastAsia" w:ascii="仿宋_GB2312" w:hAnsi="仿宋_GB2312" w:eastAsia="仿宋_GB2312" w:cs="仿宋_GB2312"/>
          <w:sz w:val="32"/>
          <w:szCs w:val="32"/>
        </w:rPr>
        <w:t>廉洁自律。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（二）岗位招聘条件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（含）以下，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机电类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中级职称优先考虑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2.大专及以上学历，电气工程及其自动化、机电一体化、计算机、通信工程等相关专业；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高速公路机电管理工作3年及以上，或从事高速公路机电项目建设、高速公路机电维护工作5年及以上，熟悉高速公路机电三大系统，隧道供配电、通风系统相关专业知识及机电工程实施基本理论知识，有独立主持部门工作经验者优先考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4.熟悉计算机操作及软硬件维护；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5.熟悉机电工程施工标准与相关程序，有公路机电项目的概预算、项目施工技术管理、项目验算、施工组织设计、专项施工方案等经验者优先。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）以下人员不得参与报名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有犯罪记录或有违法行为且屡犯不改的；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以往工作期间有贪污、挪用公款、职务侵占或其他违法违纪行为的；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吸食毒品的；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曾被单位开除工作的；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5.受党纪、政务处分的，尚在影响期内，或正在接受纪检监察部门审查或司法机关立案审查的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.身体部位有明显纹身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7.现役军人、在校学生；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8.其他不适合参与此次招聘的。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三、招聘程序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（一）报名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及资格审查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1.报名采取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网上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报名方式进行。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报名时间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：从发布公告之日起至202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日17:00时止；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3.报名需提供以下材料：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（1）应聘人员报名表（“本人登记照”处贴近期1寸白底彩色正面免冠照片，“填表人签名”处必须为本人亲笔正楷签名;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（2）本人有效居民身份证复印件;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（3）本人毕业证、学位证（如有）、职称证书、职业资格证书（如有）复印件;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（4）教育部学历证书电子注册备案表（学信网打印）；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（5）教育部学籍在线验证报告（学信网打印）；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（6）健康码截图打印件、通信大数据行程卡截图打印件；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（7）</w:t>
      </w:r>
      <w:r>
        <w:rPr>
          <w:rFonts w:hint="eastAsia" w:ascii="仿宋_GB2312" w:hAnsi="仿宋_GB2312" w:eastAsia="仿宋_GB2312" w:cs="仿宋_GB2312"/>
          <w:sz w:val="32"/>
          <w:szCs w:val="32"/>
        </w:rPr>
        <w:t>抵黔后5日内的3次核酸检测证明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（考前14天内有“本土阳性病例报告地级市〔直辖市为区〕”旅居史人员提供）；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（8）</w:t>
      </w:r>
      <w:r>
        <w:rPr>
          <w:rFonts w:hint="eastAsia" w:ascii="仿宋_GB2312" w:hAnsi="仿宋_GB2312" w:eastAsia="仿宋_GB2312" w:cs="仿宋_GB2312"/>
          <w:sz w:val="32"/>
          <w:szCs w:val="32"/>
        </w:rPr>
        <w:t>48小时内的1次核酸检测证明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（考前14天内有省外出行记录人员提供）。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fldChar w:fldCharType="begin"/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instrText xml:space="preserve"> HYPERLINK "mailto:符合条件的竞聘人员将以上材料按上述顺序扫描成一个PDF文档（文档须以\“竞聘者姓名+竞聘岗位\”命名，如\“XXX+机电技术员\”）。以PDF文档形式发至邮箱495340082@qq.com。" </w:instrTex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符合条件的应聘人员将上述材料按顺序扫描成一个PDF文档（文档须以“应聘者姓名+应聘岗位”命名，如“XXX+机电管理部副部长”），以PDF文档形式发至邮箱495340082@qq.com。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请以PDF文档形式发送以上资料，不要以压缩包形式发送；资料不全、未按要求填写相关材料或填写不完整的为无效报名，视为放弃应聘资格;通过其他渠道投递、超过报名时间投递视为报名无效。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4.资格审查。工作人员于2022年6月13日上午对应聘人员简历进行资格审查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及初步筛选，择优选择进入笔试人员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。审查完毕后，2022年6月13日下午公司将以电话或短信形式通知应聘人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员是否进入笔试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（二）笔试、面试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1.笔试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。招聘岗位开考比例原则上不低于1:3，对符合资格条件的，且人数比例达到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开考条件，进入笔试环节。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聘者笔试成绩排名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，按照比例不低于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1:3的原则确定面试人员。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.计算总成绩。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总成绩按百分制计分，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总成绩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=笔试成绩*40%+面试成绩*60%（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笔试成绩占40%、面试成绩占60%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。笔试成绩、面试成绩和总成绩均按“四舍五入法”保留小数点后两位数字。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总成绩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如仍并列的，面试成绩高的进入下一环节。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.笔试、面试时间及地点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、面试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由于当前疫情原因，另行电话通知。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笔试、面试地点：遵义市红花岗区新舟镇迎宾大道平溪村新石高速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）体检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根据应聘人员总成绩由高到低排序，按招聘计划1:1的比例确定体检人员名单。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应聘人员自行前往</w:t>
      </w:r>
      <w:r>
        <w:rPr>
          <w:rFonts w:hint="eastAsia" w:ascii="仿宋_GB2312" w:hAnsi="仿宋_GB2312" w:eastAsia="仿宋_GB2312" w:cs="仿宋_GB2312"/>
          <w:sz w:val="32"/>
          <w:szCs w:val="32"/>
        </w:rPr>
        <w:t>县级以上医院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费用自理。体检标准参照《公务员录用体检通用标准（试行）》执行。对按规定需要复检的，以复检结论为准。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）背景调查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对体检合格的拟录用人员开展背景调查工作，重点审查应聘人员是否具备相应资格条件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提供的应聘材料是否属实。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递补录取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放弃体检或体检不合格的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考生背景调查不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符合要求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的、本人自愿放弃被录用资格的，取消进入下一环节资格。空缺岗位按总成绩排名顺序进行递补。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（六）公示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经贵州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新石</w:t>
      </w:r>
      <w:r>
        <w:rPr>
          <w:rFonts w:hint="eastAsia" w:ascii="仿宋_GB2312" w:hAnsi="仿宋_GB2312" w:eastAsia="仿宋_GB2312" w:cs="仿宋_GB2312"/>
          <w:sz w:val="32"/>
          <w:szCs w:val="32"/>
        </w:rPr>
        <w:t>高速公路建设有限公司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联合</w:t>
      </w:r>
      <w:r>
        <w:rPr>
          <w:rFonts w:hint="eastAsia" w:ascii="仿宋_GB2312" w:hAnsi="仿宋_GB2312" w:eastAsia="仿宋_GB2312" w:cs="仿宋_GB2312"/>
          <w:sz w:val="32"/>
          <w:szCs w:val="32"/>
        </w:rPr>
        <w:t>党支部委员会议讨论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确定</w:t>
      </w:r>
      <w:r>
        <w:rPr>
          <w:rFonts w:hint="eastAsia" w:ascii="仿宋_GB2312" w:hAnsi="仿宋_GB2312" w:eastAsia="仿宋_GB2312" w:cs="仿宋_GB2312"/>
          <w:sz w:val="32"/>
          <w:szCs w:val="32"/>
        </w:rPr>
        <w:t>拟录用人员名单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拟录用人员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公司驻地及公司公众号上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进行公示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，公示时间为五个工作日。公示结束后，无异议者方可按程序及相关规定办理入职手续；对公示期有异议者，待相关部门调查核实后，提交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领导小组研究讨论决定。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七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）报到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电话或</w:t>
      </w:r>
      <w:r>
        <w:rPr>
          <w:rFonts w:hint="eastAsia" w:ascii="仿宋_GB2312" w:hAnsi="仿宋_GB2312" w:eastAsia="仿宋_GB2312" w:cs="仿宋_GB2312"/>
          <w:sz w:val="32"/>
          <w:szCs w:val="32"/>
        </w:rPr>
        <w:t>短信形式通知被录用人员，告知报到时间及相关注意事项。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、纪律要求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本次招聘工作由贵州交通建设集团有限公司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相关职能部门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进行监督指导。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五、疫情防控要求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1.为确保顺利参与考试，请提前做好个人健康申报、提前预约核酸检测、提前进行自我健康状况监测和“贵州健康码、国家通信行程卡”绿码核验。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前14天内有“本土阳性病例报告地级市（直辖市为区）”旅居史人员，须提供抵黔后5日内的3次核酸检测阴性证明和考前48小时内的1次核酸检测阴性证明，方可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参与笔试、面试；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前14天内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有省外出行记录且出行地无</w:t>
      </w:r>
      <w:r>
        <w:rPr>
          <w:rFonts w:hint="eastAsia" w:ascii="仿宋_GB2312" w:hAnsi="仿宋_GB2312" w:eastAsia="仿宋_GB2312" w:cs="仿宋_GB2312"/>
          <w:sz w:val="32"/>
          <w:szCs w:val="32"/>
        </w:rPr>
        <w:t>“本土阳性病例报告地级市（直辖市为区）”旅居史人员，须提供考前48小时内的1次核酸检测阴性证明，方可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参与笔试、面试；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前14天内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无出省记录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，无须提供核酸检测证明。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3.考试当天，请在考点入场检测处出示“贵州健康码、国家通信行程卡”绿码，并按上述要求提供核酸检查报告等资料，接受体温检测后，佩戴一次性医用口罩进入考场。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4.按上述要求提供所需资料，符合入场条件进入考场后，手机须按监考人员要求关机放到指定位置，严禁带至考座。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六、其它事项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1.我公司有权根据报名情况等因素，调整、取消或终止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岗位的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工作，并对本次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享有最终解释权；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2.应聘资料恕不退还；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3.本次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不收取任何费用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4.未尽事宜，由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小组讨论决定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被录用人员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需服从公司安排，到公司管辖范围内的所需岗位工作。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附件：应聘人员报名表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贵州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新石高速公路建设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    2022年5月31日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sectPr>
          <w:footerReference r:id="rId4" w:type="default"/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0851-28791638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应聘人员报名表</w:t>
      </w:r>
    </w:p>
    <w:p>
      <w:pPr>
        <w:jc w:val="right"/>
        <w:rPr>
          <w:rFonts w:ascii="仿宋_GB2312" w:hAnsi="等线" w:eastAsia="仿宋_GB2312" w:cs="宋体"/>
          <w:kern w:val="0"/>
          <w:sz w:val="22"/>
        </w:rPr>
      </w:pPr>
    </w:p>
    <w:p>
      <w:pPr>
        <w:jc w:val="right"/>
        <w:rPr>
          <w:rFonts w:ascii="仿宋_GB2312" w:hAnsi="等线" w:eastAsia="仿宋_GB2312" w:cs="宋体"/>
          <w:kern w:val="0"/>
          <w:sz w:val="24"/>
          <w:szCs w:val="24"/>
        </w:rPr>
      </w:pPr>
      <w:r>
        <w:rPr>
          <w:rFonts w:hint="eastAsia" w:ascii="仿宋_GB2312" w:hAnsi="等线" w:eastAsia="仿宋_GB2312" w:cs="宋体"/>
          <w:kern w:val="0"/>
          <w:sz w:val="24"/>
          <w:szCs w:val="24"/>
        </w:rPr>
        <w:t>报名时间：</w:t>
      </w:r>
      <w:r>
        <w:rPr>
          <w:rFonts w:ascii="仿宋_GB2312" w:hAnsi="等线" w:eastAsia="仿宋_GB2312" w:cs="宋体"/>
          <w:kern w:val="0"/>
          <w:sz w:val="24"/>
          <w:szCs w:val="24"/>
        </w:rPr>
        <w:t xml:space="preserve">      年   月   日</w:t>
      </w:r>
    </w:p>
    <w:tbl>
      <w:tblPr>
        <w:tblStyle w:val="5"/>
        <w:tblW w:w="99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86"/>
        <w:gridCol w:w="98"/>
        <w:gridCol w:w="613"/>
        <w:gridCol w:w="278"/>
        <w:gridCol w:w="572"/>
        <w:gridCol w:w="990"/>
        <w:gridCol w:w="144"/>
        <w:gridCol w:w="349"/>
        <w:gridCol w:w="358"/>
        <w:gridCol w:w="280"/>
        <w:gridCol w:w="570"/>
        <w:gridCol w:w="667"/>
        <w:gridCol w:w="452"/>
        <w:gridCol w:w="299"/>
        <w:gridCol w:w="99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2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本人登记照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5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一、个人情况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42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7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职称及职业资格情况</w:t>
            </w:r>
          </w:p>
        </w:tc>
        <w:tc>
          <w:tcPr>
            <w:tcW w:w="51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体重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0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手机</w:t>
            </w: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3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42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二、家庭成员情况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三、教育（培训）经历（从高中起填写）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学校、专业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（毕、肄业）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四、工作经历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五、获得证书及奖励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52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所获奖励或荣誉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颁奖单位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2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六、请回答以下问题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1、个人性格特征及专长：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2、你认为在工作（学习）中积累了哪些经验，他们对你应聘现岗位有何优势：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3、工作（学习）经历中所任职岗位与主要职责，并请简单描述工作业绩：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8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原薪资水平：</w:t>
            </w:r>
          </w:p>
        </w:tc>
        <w:tc>
          <w:tcPr>
            <w:tcW w:w="51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期待月薪：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除以上信息外，其他需说明的情况：</w:t>
            </w: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ind w:firstLine="480" w:firstLineChars="200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我在填表前已熟读并同意岗位应聘条件的内容。我在此承诺：本报名表中本人所提供的情况全部是真实的，且符合应聘条件。本人同意并接受</w:t>
            </w: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  <w:lang w:eastAsia="zh-CN"/>
              </w:rPr>
              <w:t>贵州新石</w:t>
            </w: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高速公路建设有限公司对表中内容进行调查。如发现虚假信息，贵公司可随时与我终止劳动合同及其他一切书面协议，由此造成的一切后果均由本人承担。</w:t>
            </w: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 xml:space="preserve">填表人签名：                  </w:t>
            </w:r>
          </w:p>
          <w:p>
            <w:pPr>
              <w:widowControl/>
              <w:spacing w:line="140" w:lineRule="exac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 xml:space="preserve">年   月   日 </w:t>
            </w:r>
            <w:r>
              <w:rPr>
                <w:rFonts w:ascii="仿宋_GB2312" w:hAnsi="等线" w:eastAsia="仿宋_GB2312" w:cs="宋体"/>
                <w:kern w:val="0"/>
                <w:sz w:val="24"/>
                <w:szCs w:val="24"/>
              </w:rPr>
              <w:t xml:space="preserve">           </w:t>
            </w:r>
          </w:p>
        </w:tc>
      </w:tr>
    </w:tbl>
    <w:p>
      <w:pP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8"/>
          <w:sz w:val="31"/>
          <w:szCs w:val="31"/>
          <w:shd w:val="clear" w:fill="FFFFFF"/>
          <w:lang w:eastAsia="zh-CN"/>
        </w:rPr>
      </w:pPr>
    </w:p>
    <w:sectPr>
      <w:pgSz w:w="11906" w:h="16838"/>
      <w:pgMar w:top="1021" w:right="1797" w:bottom="1021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9018DF-C631-4627-9950-6B08ADF241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D18CDF10-15A6-4655-A8DE-8FC635FE7062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247AC9F-2251-4B32-8F2A-A5E24448963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17D97EA-8C54-43B5-B4D6-559E584F965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4F267537-A52E-45E3-A3E7-B7F0BCFD168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AC24EEFC-824C-4A4A-9CEA-06AF921ED32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djODc4MDA2NjU4ZWZhZTRiNTcyNjM0ZTMwNmQ4OTgifQ=="/>
  </w:docVars>
  <w:rsids>
    <w:rsidRoot w:val="0044416A"/>
    <w:rsid w:val="00004839"/>
    <w:rsid w:val="00013E84"/>
    <w:rsid w:val="00025972"/>
    <w:rsid w:val="00041322"/>
    <w:rsid w:val="00050A73"/>
    <w:rsid w:val="00077468"/>
    <w:rsid w:val="000812A9"/>
    <w:rsid w:val="00096833"/>
    <w:rsid w:val="000C6E8C"/>
    <w:rsid w:val="000F3E69"/>
    <w:rsid w:val="00110A59"/>
    <w:rsid w:val="00111931"/>
    <w:rsid w:val="00184AF4"/>
    <w:rsid w:val="001C74A8"/>
    <w:rsid w:val="001D7AA6"/>
    <w:rsid w:val="001F2880"/>
    <w:rsid w:val="00205FC2"/>
    <w:rsid w:val="00210671"/>
    <w:rsid w:val="00227DDC"/>
    <w:rsid w:val="00287CCC"/>
    <w:rsid w:val="00294B00"/>
    <w:rsid w:val="00296D16"/>
    <w:rsid w:val="002A24B0"/>
    <w:rsid w:val="002D69BD"/>
    <w:rsid w:val="002E183A"/>
    <w:rsid w:val="002E1888"/>
    <w:rsid w:val="00357C31"/>
    <w:rsid w:val="0037612B"/>
    <w:rsid w:val="003900F7"/>
    <w:rsid w:val="00390416"/>
    <w:rsid w:val="003B2E2D"/>
    <w:rsid w:val="003C1BE3"/>
    <w:rsid w:val="003C6468"/>
    <w:rsid w:val="003D2088"/>
    <w:rsid w:val="0044409C"/>
    <w:rsid w:val="0044416A"/>
    <w:rsid w:val="00476B84"/>
    <w:rsid w:val="00477571"/>
    <w:rsid w:val="00494E0F"/>
    <w:rsid w:val="004A5EC6"/>
    <w:rsid w:val="004B391C"/>
    <w:rsid w:val="004B5245"/>
    <w:rsid w:val="004D26DB"/>
    <w:rsid w:val="004D6BB2"/>
    <w:rsid w:val="004F3561"/>
    <w:rsid w:val="00511B03"/>
    <w:rsid w:val="00512899"/>
    <w:rsid w:val="0051384C"/>
    <w:rsid w:val="00520705"/>
    <w:rsid w:val="00520BC0"/>
    <w:rsid w:val="0052505B"/>
    <w:rsid w:val="00544E37"/>
    <w:rsid w:val="005569EC"/>
    <w:rsid w:val="00562412"/>
    <w:rsid w:val="0056746F"/>
    <w:rsid w:val="005843FD"/>
    <w:rsid w:val="005C013D"/>
    <w:rsid w:val="00632BD3"/>
    <w:rsid w:val="00666825"/>
    <w:rsid w:val="00694C07"/>
    <w:rsid w:val="006B7110"/>
    <w:rsid w:val="0072475F"/>
    <w:rsid w:val="00735210"/>
    <w:rsid w:val="007652E7"/>
    <w:rsid w:val="00777470"/>
    <w:rsid w:val="007C5093"/>
    <w:rsid w:val="007D1F4A"/>
    <w:rsid w:val="007D53C1"/>
    <w:rsid w:val="00806AC2"/>
    <w:rsid w:val="008119D9"/>
    <w:rsid w:val="008121D3"/>
    <w:rsid w:val="00816FAA"/>
    <w:rsid w:val="00852BCC"/>
    <w:rsid w:val="0086688C"/>
    <w:rsid w:val="00883B07"/>
    <w:rsid w:val="008C27D4"/>
    <w:rsid w:val="008F3284"/>
    <w:rsid w:val="00913E3A"/>
    <w:rsid w:val="00922358"/>
    <w:rsid w:val="0094478E"/>
    <w:rsid w:val="00951728"/>
    <w:rsid w:val="009557A9"/>
    <w:rsid w:val="0098270B"/>
    <w:rsid w:val="009845E6"/>
    <w:rsid w:val="0098523B"/>
    <w:rsid w:val="00992FB9"/>
    <w:rsid w:val="009A3065"/>
    <w:rsid w:val="009D0F42"/>
    <w:rsid w:val="009D519A"/>
    <w:rsid w:val="009D5FB3"/>
    <w:rsid w:val="009D6FF9"/>
    <w:rsid w:val="009F7F10"/>
    <w:rsid w:val="00A011D2"/>
    <w:rsid w:val="00A1381C"/>
    <w:rsid w:val="00A27EC3"/>
    <w:rsid w:val="00A35B86"/>
    <w:rsid w:val="00A4048F"/>
    <w:rsid w:val="00A50573"/>
    <w:rsid w:val="00A57FC7"/>
    <w:rsid w:val="00AC311C"/>
    <w:rsid w:val="00AC4076"/>
    <w:rsid w:val="00AC6CE0"/>
    <w:rsid w:val="00AD4E79"/>
    <w:rsid w:val="00AF21BB"/>
    <w:rsid w:val="00B02C65"/>
    <w:rsid w:val="00B160B9"/>
    <w:rsid w:val="00B22BD5"/>
    <w:rsid w:val="00B24ECF"/>
    <w:rsid w:val="00B26474"/>
    <w:rsid w:val="00B3311C"/>
    <w:rsid w:val="00B436C7"/>
    <w:rsid w:val="00B522D2"/>
    <w:rsid w:val="00B85E82"/>
    <w:rsid w:val="00B87F48"/>
    <w:rsid w:val="00B9280A"/>
    <w:rsid w:val="00B97556"/>
    <w:rsid w:val="00BD1127"/>
    <w:rsid w:val="00BF26AA"/>
    <w:rsid w:val="00BF380A"/>
    <w:rsid w:val="00C2327F"/>
    <w:rsid w:val="00C57C9F"/>
    <w:rsid w:val="00CA52FB"/>
    <w:rsid w:val="00CB4ADF"/>
    <w:rsid w:val="00CB6733"/>
    <w:rsid w:val="00CC7D8C"/>
    <w:rsid w:val="00CE4C13"/>
    <w:rsid w:val="00CF0649"/>
    <w:rsid w:val="00CF20B5"/>
    <w:rsid w:val="00CF24B4"/>
    <w:rsid w:val="00D23B1F"/>
    <w:rsid w:val="00D24604"/>
    <w:rsid w:val="00D263A9"/>
    <w:rsid w:val="00D323FA"/>
    <w:rsid w:val="00D77AD0"/>
    <w:rsid w:val="00D8051A"/>
    <w:rsid w:val="00D9291C"/>
    <w:rsid w:val="00DA02E4"/>
    <w:rsid w:val="00DA127D"/>
    <w:rsid w:val="00DA52CD"/>
    <w:rsid w:val="00DA578B"/>
    <w:rsid w:val="00DC43F2"/>
    <w:rsid w:val="00DF3BFC"/>
    <w:rsid w:val="00E64F7F"/>
    <w:rsid w:val="00EA6E76"/>
    <w:rsid w:val="00EB2975"/>
    <w:rsid w:val="00EB672C"/>
    <w:rsid w:val="00EC3017"/>
    <w:rsid w:val="00EC4415"/>
    <w:rsid w:val="00EE3B24"/>
    <w:rsid w:val="00F062C5"/>
    <w:rsid w:val="00F33156"/>
    <w:rsid w:val="00F56E40"/>
    <w:rsid w:val="00F71669"/>
    <w:rsid w:val="00F8292B"/>
    <w:rsid w:val="00F8453C"/>
    <w:rsid w:val="00F87091"/>
    <w:rsid w:val="00FA42CE"/>
    <w:rsid w:val="00FD07C6"/>
    <w:rsid w:val="00FD7122"/>
    <w:rsid w:val="033B3A9E"/>
    <w:rsid w:val="04360532"/>
    <w:rsid w:val="048331A0"/>
    <w:rsid w:val="04F15DD0"/>
    <w:rsid w:val="05AD75A5"/>
    <w:rsid w:val="0A49320C"/>
    <w:rsid w:val="0E290C04"/>
    <w:rsid w:val="0F6F1933"/>
    <w:rsid w:val="10E54181"/>
    <w:rsid w:val="12497AA6"/>
    <w:rsid w:val="13042558"/>
    <w:rsid w:val="14E9369A"/>
    <w:rsid w:val="15897AC5"/>
    <w:rsid w:val="1872306F"/>
    <w:rsid w:val="1D9A3271"/>
    <w:rsid w:val="1DA93BD4"/>
    <w:rsid w:val="1E46244D"/>
    <w:rsid w:val="1E894AE9"/>
    <w:rsid w:val="21036364"/>
    <w:rsid w:val="211D1306"/>
    <w:rsid w:val="2650528A"/>
    <w:rsid w:val="2673713F"/>
    <w:rsid w:val="27B67FC7"/>
    <w:rsid w:val="27FA6463"/>
    <w:rsid w:val="28F23693"/>
    <w:rsid w:val="2D3673BC"/>
    <w:rsid w:val="2DFC4268"/>
    <w:rsid w:val="2FF624E3"/>
    <w:rsid w:val="33B757A7"/>
    <w:rsid w:val="35070379"/>
    <w:rsid w:val="39624664"/>
    <w:rsid w:val="3A7F00E1"/>
    <w:rsid w:val="3B045366"/>
    <w:rsid w:val="3B3A5F76"/>
    <w:rsid w:val="3D7B13AF"/>
    <w:rsid w:val="3DEF2AD2"/>
    <w:rsid w:val="4131577C"/>
    <w:rsid w:val="420F705A"/>
    <w:rsid w:val="44776C48"/>
    <w:rsid w:val="47C80C23"/>
    <w:rsid w:val="48613630"/>
    <w:rsid w:val="4A38492F"/>
    <w:rsid w:val="4AC75320"/>
    <w:rsid w:val="4B987C48"/>
    <w:rsid w:val="4BCD38FA"/>
    <w:rsid w:val="4CA3441B"/>
    <w:rsid w:val="4DB07D0C"/>
    <w:rsid w:val="4DCA6CD6"/>
    <w:rsid w:val="4F891F7C"/>
    <w:rsid w:val="51256043"/>
    <w:rsid w:val="519303F7"/>
    <w:rsid w:val="52C20536"/>
    <w:rsid w:val="540F1DE1"/>
    <w:rsid w:val="55503769"/>
    <w:rsid w:val="5A1A7A8F"/>
    <w:rsid w:val="5B5340C0"/>
    <w:rsid w:val="5C282019"/>
    <w:rsid w:val="5CB5705F"/>
    <w:rsid w:val="5E0A7219"/>
    <w:rsid w:val="60E10EEE"/>
    <w:rsid w:val="629A7075"/>
    <w:rsid w:val="67923365"/>
    <w:rsid w:val="6929780F"/>
    <w:rsid w:val="69C10E4E"/>
    <w:rsid w:val="6B731A23"/>
    <w:rsid w:val="6BC47D0D"/>
    <w:rsid w:val="6C7E33F1"/>
    <w:rsid w:val="6CA76B81"/>
    <w:rsid w:val="6CE80DC0"/>
    <w:rsid w:val="6DD74C13"/>
    <w:rsid w:val="6E5E39EF"/>
    <w:rsid w:val="6E6F073E"/>
    <w:rsid w:val="70956A00"/>
    <w:rsid w:val="71FC2080"/>
    <w:rsid w:val="72F42762"/>
    <w:rsid w:val="743C5E3C"/>
    <w:rsid w:val="74A83AE5"/>
    <w:rsid w:val="786036A4"/>
    <w:rsid w:val="78A95F79"/>
    <w:rsid w:val="78BF0E55"/>
    <w:rsid w:val="7C2C6E24"/>
    <w:rsid w:val="7C503E43"/>
    <w:rsid w:val="7E894847"/>
    <w:rsid w:val="7FE7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3116</Words>
  <Characters>3243</Characters>
  <Lines>28</Lines>
  <Paragraphs>7</Paragraphs>
  <TotalTime>66</TotalTime>
  <ScaleCrop>false</ScaleCrop>
  <LinksUpToDate>false</LinksUpToDate>
  <CharactersWithSpaces>3323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2020-07-06T01:15:00Z</dcterms:created>
  <dc:creator>Administrator</dc:creator>
  <cp:lastModifiedBy>XHHeRanDWYr</cp:lastModifiedBy>
  <cp:lastPrinted>2022-05-31T06:45:50Z</cp:lastPrinted>
  <dcterms:modified xsi:type="dcterms:W3CDTF">2022-05-31T07:57:47Z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DD8370BC8CBA4127AF90C5BF1F7F95A7</vt:lpwstr>
  </property>
</Properties>
</file>