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rPr>
          <w:rFonts w:ascii="Times New Roman"/>
          <w:sz w:val="11"/>
          <w:highlight w:val="none"/>
        </w:rPr>
      </w:pPr>
    </w:p>
    <w:p>
      <w:pPr>
        <w:pStyle w:val="11"/>
        <w:rPr>
          <w:rFonts w:ascii="Times New Roman"/>
          <w:sz w:val="11"/>
          <w:highlight w:val="none"/>
        </w:rPr>
      </w:pPr>
    </w:p>
    <w:p>
      <w:pPr>
        <w:pStyle w:val="11"/>
        <w:rPr>
          <w:rFonts w:ascii="Times New Roman"/>
          <w:sz w:val="11"/>
          <w:highlight w:val="none"/>
        </w:rPr>
      </w:pPr>
    </w:p>
    <w:p>
      <w:pPr>
        <w:pStyle w:val="11"/>
        <w:rPr>
          <w:rFonts w:ascii="Times New Roman"/>
          <w:sz w:val="11"/>
          <w:highlight w:val="none"/>
        </w:rPr>
      </w:pPr>
    </w:p>
    <w:p>
      <w:pPr>
        <w:pStyle w:val="11"/>
        <w:rPr>
          <w:rFonts w:ascii="Times New Roman"/>
          <w:sz w:val="11"/>
          <w:highlight w:val="none"/>
        </w:rPr>
      </w:pPr>
    </w:p>
    <w:p>
      <w:pPr>
        <w:pStyle w:val="10"/>
        <w:spacing w:line="360" w:lineRule="auto"/>
        <w:jc w:val="center"/>
        <w:rPr>
          <w:b/>
          <w:sz w:val="44"/>
          <w:szCs w:val="44"/>
          <w:highlight w:val="none"/>
        </w:rPr>
      </w:pPr>
      <w:r>
        <w:rPr>
          <w:rFonts w:hint="eastAsia"/>
          <w:b/>
          <w:sz w:val="44"/>
          <w:szCs w:val="44"/>
          <w:highlight w:val="none"/>
        </w:rPr>
        <w:t>贵州交投商贸物流有限公司</w:t>
      </w:r>
    </w:p>
    <w:p>
      <w:pPr>
        <w:pStyle w:val="10"/>
        <w:spacing w:line="360" w:lineRule="auto"/>
        <w:jc w:val="center"/>
        <w:rPr>
          <w:b/>
          <w:sz w:val="44"/>
          <w:szCs w:val="44"/>
          <w:highlight w:val="none"/>
        </w:rPr>
      </w:pPr>
      <w:r>
        <w:rPr>
          <w:rFonts w:hint="eastAsia"/>
          <w:b/>
          <w:sz w:val="44"/>
          <w:szCs w:val="44"/>
          <w:highlight w:val="none"/>
          <w:lang w:eastAsia="zh-CN"/>
        </w:rPr>
        <w:t>钢材</w:t>
      </w:r>
      <w:r>
        <w:rPr>
          <w:rFonts w:hint="eastAsia"/>
          <w:b/>
          <w:sz w:val="44"/>
          <w:szCs w:val="44"/>
          <w:highlight w:val="none"/>
        </w:rPr>
        <w:t>运输采购项目</w:t>
      </w:r>
    </w:p>
    <w:p>
      <w:pPr>
        <w:tabs>
          <w:tab w:val="left" w:pos="6154"/>
        </w:tabs>
        <w:spacing w:before="71"/>
        <w:jc w:val="both"/>
        <w:rPr>
          <w:sz w:val="28"/>
          <w:highlight w:val="none"/>
        </w:rPr>
      </w:pPr>
      <w:r>
        <w:rPr>
          <w:rFonts w:hint="eastAsia"/>
          <w:b/>
          <w:bCs/>
          <w:sz w:val="44"/>
          <w:szCs w:val="44"/>
          <w:highlight w:val="none"/>
          <w:lang w:val="en-US"/>
        </w:rPr>
        <w:t xml:space="preserve">         </w:t>
      </w:r>
    </w:p>
    <w:p>
      <w:pPr>
        <w:pStyle w:val="10"/>
        <w:spacing w:line="360" w:lineRule="auto"/>
        <w:jc w:val="center"/>
        <w:rPr>
          <w:b/>
          <w:sz w:val="44"/>
          <w:szCs w:val="44"/>
          <w:highlight w:val="none"/>
        </w:rPr>
      </w:pPr>
    </w:p>
    <w:p>
      <w:pPr>
        <w:pStyle w:val="10"/>
        <w:spacing w:line="360" w:lineRule="auto"/>
        <w:jc w:val="center"/>
        <w:rPr>
          <w:b/>
          <w:sz w:val="28"/>
          <w:szCs w:val="28"/>
          <w:highlight w:val="none"/>
        </w:rPr>
      </w:pPr>
      <w:r>
        <w:rPr>
          <w:rFonts w:hint="eastAsia"/>
          <w:b/>
          <w:sz w:val="28"/>
          <w:szCs w:val="28"/>
          <w:highlight w:val="none"/>
        </w:rPr>
        <w:t xml:space="preserve"> </w:t>
      </w:r>
    </w:p>
    <w:p>
      <w:pPr>
        <w:pStyle w:val="10"/>
        <w:spacing w:line="360" w:lineRule="auto"/>
        <w:jc w:val="center"/>
        <w:rPr>
          <w:b/>
          <w:sz w:val="52"/>
          <w:szCs w:val="52"/>
          <w:highlight w:val="none"/>
        </w:rPr>
      </w:pPr>
    </w:p>
    <w:p>
      <w:pPr>
        <w:pStyle w:val="10"/>
        <w:spacing w:line="360" w:lineRule="auto"/>
        <w:jc w:val="center"/>
        <w:rPr>
          <w:b/>
          <w:sz w:val="52"/>
          <w:szCs w:val="52"/>
          <w:highlight w:val="none"/>
        </w:rPr>
      </w:pPr>
    </w:p>
    <w:p>
      <w:pPr>
        <w:pStyle w:val="10"/>
        <w:spacing w:line="360" w:lineRule="auto"/>
        <w:jc w:val="center"/>
        <w:rPr>
          <w:b/>
          <w:sz w:val="84"/>
          <w:szCs w:val="84"/>
          <w:highlight w:val="none"/>
        </w:rPr>
      </w:pPr>
      <w:r>
        <w:rPr>
          <w:rFonts w:hint="eastAsia"/>
          <w:b/>
          <w:sz w:val="84"/>
          <w:szCs w:val="84"/>
          <w:highlight w:val="none"/>
        </w:rPr>
        <w:t>招 标 文 件</w:t>
      </w:r>
    </w:p>
    <w:p>
      <w:pPr>
        <w:pStyle w:val="10"/>
        <w:spacing w:line="360" w:lineRule="auto"/>
        <w:jc w:val="center"/>
        <w:rPr>
          <w:b/>
          <w:sz w:val="52"/>
          <w:szCs w:val="52"/>
          <w:highlight w:val="none"/>
        </w:rPr>
      </w:pPr>
    </w:p>
    <w:p>
      <w:pPr>
        <w:pStyle w:val="10"/>
        <w:spacing w:line="360" w:lineRule="auto"/>
        <w:jc w:val="center"/>
        <w:rPr>
          <w:rFonts w:hint="default" w:eastAsia="宋体"/>
          <w:b/>
          <w:bCs/>
          <w:sz w:val="40"/>
          <w:szCs w:val="40"/>
          <w:highlight w:val="none"/>
          <w:lang w:val="en-US" w:eastAsia="zh-CN"/>
        </w:rPr>
      </w:pPr>
      <w:r>
        <w:rPr>
          <w:b/>
          <w:bCs/>
          <w:sz w:val="32"/>
          <w:szCs w:val="32"/>
          <w:highlight w:val="none"/>
        </w:rPr>
        <w:t>招标</w:t>
      </w:r>
      <w:r>
        <w:rPr>
          <w:b/>
          <w:bCs/>
          <w:spacing w:val="-3"/>
          <w:sz w:val="32"/>
          <w:szCs w:val="32"/>
          <w:highlight w:val="none"/>
        </w:rPr>
        <w:t>编</w:t>
      </w:r>
      <w:r>
        <w:rPr>
          <w:b/>
          <w:bCs/>
          <w:sz w:val="32"/>
          <w:szCs w:val="32"/>
          <w:highlight w:val="none"/>
        </w:rPr>
        <w:t>号：</w:t>
      </w:r>
      <w:r>
        <w:rPr>
          <w:rFonts w:hint="eastAsia"/>
          <w:b/>
          <w:bCs/>
          <w:sz w:val="32"/>
          <w:szCs w:val="32"/>
          <w:highlight w:val="none"/>
          <w:lang w:eastAsia="zh-CN"/>
        </w:rPr>
        <w:t>GZJTZB202104</w:t>
      </w:r>
      <w:r>
        <w:rPr>
          <w:rFonts w:hint="eastAsia"/>
          <w:b/>
          <w:bCs/>
          <w:sz w:val="32"/>
          <w:szCs w:val="32"/>
          <w:highlight w:val="none"/>
          <w:lang w:val="en-US" w:eastAsia="zh-CN"/>
        </w:rPr>
        <w:t xml:space="preserve">  </w:t>
      </w:r>
    </w:p>
    <w:p>
      <w:pPr>
        <w:pStyle w:val="10"/>
        <w:spacing w:line="360" w:lineRule="auto"/>
        <w:jc w:val="both"/>
        <w:rPr>
          <w:b/>
          <w:sz w:val="52"/>
          <w:szCs w:val="52"/>
          <w:highlight w:val="none"/>
        </w:rPr>
      </w:pPr>
    </w:p>
    <w:p>
      <w:pPr>
        <w:pStyle w:val="10"/>
        <w:spacing w:line="360" w:lineRule="auto"/>
        <w:ind w:firstLine="1155" w:firstLineChars="411"/>
        <w:jc w:val="center"/>
        <w:rPr>
          <w:b/>
          <w:sz w:val="28"/>
          <w:szCs w:val="28"/>
          <w:highlight w:val="none"/>
        </w:rPr>
      </w:pPr>
      <w:r>
        <w:rPr>
          <w:rFonts w:hint="eastAsia"/>
          <w:b/>
          <w:sz w:val="28"/>
          <w:szCs w:val="28"/>
          <w:highlight w:val="none"/>
        </w:rPr>
        <w:t>招标人：</w:t>
      </w:r>
      <w:r>
        <w:rPr>
          <w:rFonts w:hint="eastAsia"/>
          <w:b/>
          <w:sz w:val="28"/>
          <w:szCs w:val="28"/>
          <w:highlight w:val="none"/>
          <w:u w:val="single"/>
        </w:rPr>
        <w:t>贵州交投商贸物流有限公司</w:t>
      </w:r>
      <w:r>
        <w:rPr>
          <w:rFonts w:hint="eastAsia"/>
          <w:b/>
          <w:sz w:val="28"/>
          <w:szCs w:val="28"/>
          <w:highlight w:val="none"/>
        </w:rPr>
        <w:t>（</w:t>
      </w:r>
      <w:r>
        <w:rPr>
          <w:rFonts w:hint="eastAsia"/>
          <w:b/>
          <w:sz w:val="28"/>
          <w:szCs w:val="28"/>
          <w:highlight w:val="none"/>
          <w:lang w:val="en-US"/>
        </w:rPr>
        <w:t>盖单位章</w:t>
      </w:r>
      <w:r>
        <w:rPr>
          <w:rFonts w:hint="eastAsia"/>
          <w:b/>
          <w:sz w:val="28"/>
          <w:szCs w:val="28"/>
          <w:highlight w:val="none"/>
        </w:rPr>
        <w:t>）</w:t>
      </w:r>
    </w:p>
    <w:p>
      <w:pPr>
        <w:pStyle w:val="10"/>
        <w:spacing w:line="360" w:lineRule="auto"/>
        <w:jc w:val="center"/>
        <w:rPr>
          <w:b/>
          <w:sz w:val="32"/>
          <w:szCs w:val="32"/>
          <w:highlight w:val="none"/>
        </w:rPr>
      </w:pPr>
    </w:p>
    <w:p>
      <w:pPr>
        <w:pStyle w:val="10"/>
        <w:spacing w:line="360" w:lineRule="auto"/>
        <w:jc w:val="center"/>
        <w:rPr>
          <w:szCs w:val="18"/>
          <w:highlight w:val="none"/>
        </w:rPr>
      </w:pPr>
      <w:r>
        <w:rPr>
          <w:b/>
          <w:sz w:val="28"/>
          <w:szCs w:val="28"/>
          <w:highlight w:val="none"/>
        </w:rPr>
        <w:t>20</w:t>
      </w:r>
      <w:r>
        <w:rPr>
          <w:rFonts w:hint="eastAsia"/>
          <w:b/>
          <w:sz w:val="28"/>
          <w:szCs w:val="28"/>
          <w:highlight w:val="none"/>
          <w:lang w:val="en-US"/>
        </w:rPr>
        <w:t>2</w:t>
      </w:r>
      <w:r>
        <w:rPr>
          <w:rFonts w:hint="eastAsia"/>
          <w:b/>
          <w:sz w:val="28"/>
          <w:szCs w:val="28"/>
          <w:highlight w:val="none"/>
          <w:lang w:val="en-US" w:eastAsia="zh-CN"/>
        </w:rPr>
        <w:t>1</w:t>
      </w:r>
      <w:r>
        <w:rPr>
          <w:rFonts w:hint="eastAsia"/>
          <w:b/>
          <w:sz w:val="28"/>
          <w:szCs w:val="28"/>
          <w:highlight w:val="none"/>
        </w:rPr>
        <w:t>年</w:t>
      </w:r>
      <w:r>
        <w:rPr>
          <w:rFonts w:hint="eastAsia"/>
          <w:b/>
          <w:sz w:val="28"/>
          <w:szCs w:val="28"/>
          <w:highlight w:val="none"/>
          <w:lang w:val="en-US"/>
        </w:rPr>
        <w:t>0</w:t>
      </w:r>
      <w:r>
        <w:rPr>
          <w:rFonts w:hint="eastAsia"/>
          <w:b/>
          <w:sz w:val="28"/>
          <w:szCs w:val="28"/>
          <w:highlight w:val="none"/>
          <w:lang w:val="en-US" w:eastAsia="zh-CN"/>
        </w:rPr>
        <w:t>7</w:t>
      </w:r>
      <w:r>
        <w:rPr>
          <w:rFonts w:hint="eastAsia"/>
          <w:b/>
          <w:sz w:val="28"/>
          <w:szCs w:val="28"/>
          <w:highlight w:val="none"/>
        </w:rPr>
        <w:t>月</w:t>
      </w:r>
    </w:p>
    <w:p>
      <w:pPr>
        <w:rPr>
          <w:sz w:val="24"/>
          <w:szCs w:val="21"/>
          <w:highlight w:val="none"/>
        </w:rPr>
        <w:sectPr>
          <w:footerReference r:id="rId3" w:type="default"/>
          <w:pgSz w:w="12240" w:h="15840"/>
          <w:pgMar w:top="1500" w:right="1100" w:bottom="280" w:left="1400" w:header="720" w:footer="720" w:gutter="0"/>
          <w:cols w:space="720" w:num="1"/>
        </w:sectPr>
      </w:pPr>
    </w:p>
    <w:sdt>
      <w:sdtPr>
        <w:rPr>
          <w:sz w:val="22"/>
          <w:szCs w:val="22"/>
          <w:highlight w:val="none"/>
        </w:rPr>
        <w:id w:val="147472194"/>
      </w:sdtPr>
      <w:sdtEndPr>
        <w:rPr>
          <w:sz w:val="22"/>
          <w:szCs w:val="21"/>
          <w:highlight w:val="none"/>
        </w:rPr>
      </w:sdtEndPr>
      <w:sdtContent>
        <w:p>
          <w:pPr>
            <w:pStyle w:val="18"/>
            <w:tabs>
              <w:tab w:val="right" w:leader="dot" w:pos="9034"/>
            </w:tabs>
            <w:spacing w:before="5"/>
            <w:ind w:left="820" w:firstLine="0"/>
            <w:rPr>
              <w:szCs w:val="22"/>
              <w:highlight w:val="none"/>
            </w:rPr>
          </w:pPr>
        </w:p>
        <w:sdt>
          <w:sdtPr>
            <w:rPr>
              <w:sz w:val="21"/>
              <w:szCs w:val="21"/>
              <w:highlight w:val="none"/>
            </w:rPr>
            <w:id w:val="147482033"/>
          </w:sdtPr>
          <w:sdtEndPr>
            <w:rPr>
              <w:sz w:val="21"/>
              <w:szCs w:val="21"/>
              <w:highlight w:val="none"/>
            </w:rPr>
          </w:sdtEndPr>
          <w:sdtContent>
            <w:p>
              <w:pPr>
                <w:spacing w:line="360" w:lineRule="auto"/>
                <w:jc w:val="center"/>
                <w:rPr>
                  <w:sz w:val="21"/>
                  <w:highlight w:val="none"/>
                </w:rPr>
              </w:pPr>
              <w:r>
                <w:rPr>
                  <w:sz w:val="21"/>
                  <w:highlight w:val="none"/>
                </w:rPr>
                <w:t>目录</w:t>
              </w:r>
            </w:p>
            <w:p>
              <w:pPr>
                <w:pStyle w:val="17"/>
                <w:tabs>
                  <w:tab w:val="right" w:leader="dot" w:pos="9683"/>
                </w:tabs>
              </w:pPr>
              <w:r>
                <w:rPr>
                  <w:highlight w:val="none"/>
                </w:rPr>
                <w:fldChar w:fldCharType="begin"/>
              </w:r>
              <w:r>
                <w:rPr>
                  <w:highlight w:val="none"/>
                </w:rPr>
                <w:instrText xml:space="preserve">TOC \o "1-3" \h \u </w:instrText>
              </w:r>
              <w:r>
                <w:rPr>
                  <w:highlight w:val="none"/>
                </w:rPr>
                <w:fldChar w:fldCharType="separate"/>
              </w:r>
              <w:r>
                <w:rPr>
                  <w:highlight w:val="none"/>
                </w:rPr>
                <w:fldChar w:fldCharType="begin"/>
              </w:r>
              <w:r>
                <w:rPr>
                  <w:highlight w:val="none"/>
                </w:rPr>
                <w:instrText xml:space="preserve"> HYPERLINK \l _Toc21357 </w:instrText>
              </w:r>
              <w:r>
                <w:rPr>
                  <w:highlight w:val="none"/>
                </w:rPr>
                <w:fldChar w:fldCharType="separate"/>
              </w:r>
              <w:r>
                <w:rPr>
                  <w:rFonts w:hint="eastAsia"/>
                  <w:highlight w:val="none"/>
                </w:rPr>
                <w:t>第一章招标公告</w:t>
              </w:r>
              <w:r>
                <w:tab/>
              </w:r>
              <w:r>
                <w:fldChar w:fldCharType="begin"/>
              </w:r>
              <w:r>
                <w:instrText xml:space="preserve"> PAGEREF _Toc21357 \h </w:instrText>
              </w:r>
              <w:r>
                <w:fldChar w:fldCharType="separate"/>
              </w:r>
              <w:r>
                <w:t>5</w:t>
              </w:r>
              <w:r>
                <w:fldChar w:fldCharType="end"/>
              </w:r>
              <w:r>
                <w:rPr>
                  <w:highlight w:val="none"/>
                </w:rPr>
                <w:fldChar w:fldCharType="end"/>
              </w:r>
            </w:p>
            <w:p>
              <w:pPr>
                <w:pStyle w:val="18"/>
                <w:tabs>
                  <w:tab w:val="right" w:leader="dot" w:pos="9683"/>
                </w:tabs>
              </w:pPr>
              <w:r>
                <w:rPr>
                  <w:highlight w:val="none"/>
                </w:rPr>
                <w:fldChar w:fldCharType="begin"/>
              </w:r>
              <w:r>
                <w:rPr>
                  <w:highlight w:val="none"/>
                </w:rPr>
                <w:instrText xml:space="preserve"> HYPERLINK \l _Toc11833 </w:instrText>
              </w:r>
              <w:r>
                <w:rPr>
                  <w:highlight w:val="none"/>
                </w:rPr>
                <w:fldChar w:fldCharType="separate"/>
              </w:r>
              <w:r>
                <w:rPr>
                  <w:rFonts w:hint="eastAsia" w:ascii="宋体" w:hAnsi="宋体" w:eastAsia="宋体" w:cs="宋体"/>
                  <w:szCs w:val="24"/>
                  <w:highlight w:val="none"/>
                  <w:lang w:val="en-US"/>
                </w:rPr>
                <w:t>1.</w:t>
              </w:r>
              <w:r>
                <w:rPr>
                  <w:rFonts w:hint="eastAsia" w:ascii="宋体" w:hAnsi="宋体" w:eastAsia="宋体" w:cs="宋体"/>
                  <w:szCs w:val="24"/>
                  <w:highlight w:val="none"/>
                </w:rPr>
                <w:t>招标条件</w:t>
              </w:r>
              <w:r>
                <w:tab/>
              </w:r>
              <w:r>
                <w:fldChar w:fldCharType="begin"/>
              </w:r>
              <w:r>
                <w:instrText xml:space="preserve"> PAGEREF _Toc11833 \h </w:instrText>
              </w:r>
              <w:r>
                <w:fldChar w:fldCharType="separate"/>
              </w:r>
              <w:r>
                <w:t>5</w:t>
              </w:r>
              <w:r>
                <w:fldChar w:fldCharType="end"/>
              </w:r>
              <w:r>
                <w:rPr>
                  <w:highlight w:val="none"/>
                </w:rPr>
                <w:fldChar w:fldCharType="end"/>
              </w:r>
            </w:p>
            <w:p>
              <w:pPr>
                <w:pStyle w:val="18"/>
                <w:tabs>
                  <w:tab w:val="right" w:leader="dot" w:pos="9683"/>
                </w:tabs>
              </w:pPr>
              <w:r>
                <w:rPr>
                  <w:highlight w:val="none"/>
                </w:rPr>
                <w:fldChar w:fldCharType="begin"/>
              </w:r>
              <w:r>
                <w:rPr>
                  <w:highlight w:val="none"/>
                </w:rPr>
                <w:instrText xml:space="preserve"> HYPERLINK \l _Toc10811 </w:instrText>
              </w:r>
              <w:r>
                <w:rPr>
                  <w:highlight w:val="none"/>
                </w:rPr>
                <w:fldChar w:fldCharType="separate"/>
              </w:r>
              <w:r>
                <w:rPr>
                  <w:rFonts w:hint="eastAsia" w:ascii="宋体" w:hAnsi="宋体" w:eastAsia="宋体" w:cs="宋体"/>
                  <w:szCs w:val="24"/>
                  <w:highlight w:val="none"/>
                  <w:lang w:val="en-US"/>
                </w:rPr>
                <w:t>2.</w:t>
              </w:r>
              <w:r>
                <w:rPr>
                  <w:rFonts w:hint="eastAsia" w:ascii="宋体" w:hAnsi="宋体" w:eastAsia="宋体" w:cs="宋体"/>
                  <w:szCs w:val="24"/>
                  <w:highlight w:val="none"/>
                </w:rPr>
                <w:t>项目概况与招标</w:t>
              </w:r>
              <w:r>
                <w:rPr>
                  <w:rFonts w:hint="eastAsia" w:ascii="宋体" w:hAnsi="宋体" w:eastAsia="宋体" w:cs="宋体"/>
                  <w:szCs w:val="24"/>
                  <w:highlight w:val="none"/>
                  <w:lang w:val="en-US"/>
                </w:rPr>
                <w:t>内容</w:t>
              </w:r>
              <w:r>
                <w:tab/>
              </w:r>
              <w:r>
                <w:fldChar w:fldCharType="begin"/>
              </w:r>
              <w:r>
                <w:instrText xml:space="preserve"> PAGEREF _Toc10811 \h </w:instrText>
              </w:r>
              <w:r>
                <w:fldChar w:fldCharType="separate"/>
              </w:r>
              <w:r>
                <w:t>5</w:t>
              </w:r>
              <w:r>
                <w:fldChar w:fldCharType="end"/>
              </w:r>
              <w:r>
                <w:rPr>
                  <w:highlight w:val="none"/>
                </w:rPr>
                <w:fldChar w:fldCharType="end"/>
              </w:r>
            </w:p>
            <w:p>
              <w:pPr>
                <w:pStyle w:val="18"/>
                <w:tabs>
                  <w:tab w:val="right" w:leader="dot" w:pos="9683"/>
                </w:tabs>
              </w:pPr>
              <w:r>
                <w:rPr>
                  <w:highlight w:val="none"/>
                </w:rPr>
                <w:fldChar w:fldCharType="begin"/>
              </w:r>
              <w:r>
                <w:rPr>
                  <w:highlight w:val="none"/>
                </w:rPr>
                <w:instrText xml:space="preserve"> HYPERLINK \l _Toc15802 </w:instrText>
              </w:r>
              <w:r>
                <w:rPr>
                  <w:highlight w:val="none"/>
                </w:rPr>
                <w:fldChar w:fldCharType="separate"/>
              </w:r>
              <w:r>
                <w:rPr>
                  <w:rFonts w:hint="eastAsia" w:cs="Times New Roman" w:asciiTheme="minorEastAsia" w:hAnsiTheme="minorEastAsia" w:eastAsiaTheme="minorEastAsia"/>
                  <w:szCs w:val="24"/>
                  <w:highlight w:val="none"/>
                  <w:lang w:val="en-US"/>
                </w:rPr>
                <w:t>3.</w:t>
              </w:r>
              <w:r>
                <w:rPr>
                  <w:rFonts w:hint="eastAsia" w:ascii="宋体" w:hAnsi="宋体" w:eastAsia="宋体" w:cs="宋体"/>
                  <w:szCs w:val="24"/>
                  <w:highlight w:val="none"/>
                </w:rPr>
                <w:t>投标人资格要求</w:t>
              </w:r>
              <w:r>
                <w:tab/>
              </w:r>
              <w:r>
                <w:fldChar w:fldCharType="begin"/>
              </w:r>
              <w:r>
                <w:instrText xml:space="preserve"> PAGEREF _Toc15802 \h </w:instrText>
              </w:r>
              <w:r>
                <w:fldChar w:fldCharType="separate"/>
              </w:r>
              <w:r>
                <w:t>5</w:t>
              </w:r>
              <w:r>
                <w:fldChar w:fldCharType="end"/>
              </w:r>
              <w:r>
                <w:rPr>
                  <w:highlight w:val="none"/>
                </w:rPr>
                <w:fldChar w:fldCharType="end"/>
              </w:r>
            </w:p>
            <w:p>
              <w:pPr>
                <w:pStyle w:val="18"/>
                <w:tabs>
                  <w:tab w:val="right" w:leader="dot" w:pos="9683"/>
                </w:tabs>
              </w:pPr>
              <w:r>
                <w:rPr>
                  <w:highlight w:val="none"/>
                </w:rPr>
                <w:fldChar w:fldCharType="begin"/>
              </w:r>
              <w:r>
                <w:rPr>
                  <w:highlight w:val="none"/>
                </w:rPr>
                <w:instrText xml:space="preserve"> HYPERLINK \l _Toc9884 </w:instrText>
              </w:r>
              <w:r>
                <w:rPr>
                  <w:highlight w:val="none"/>
                </w:rPr>
                <w:fldChar w:fldCharType="separate"/>
              </w:r>
              <w:r>
                <w:rPr>
                  <w:rFonts w:hint="eastAsia" w:ascii="宋体" w:hAnsi="宋体" w:eastAsia="宋体" w:cs="宋体"/>
                  <w:szCs w:val="24"/>
                  <w:highlight w:val="none"/>
                  <w:lang w:val="en-US"/>
                </w:rPr>
                <w:t>4.</w:t>
              </w:r>
              <w:r>
                <w:rPr>
                  <w:rFonts w:hint="eastAsia" w:ascii="宋体" w:hAnsi="宋体" w:eastAsia="宋体" w:cs="宋体"/>
                  <w:szCs w:val="24"/>
                  <w:highlight w:val="none"/>
                </w:rPr>
                <w:t>招标文件的获取</w:t>
              </w:r>
              <w:r>
                <w:tab/>
              </w:r>
              <w:r>
                <w:fldChar w:fldCharType="begin"/>
              </w:r>
              <w:r>
                <w:instrText xml:space="preserve"> PAGEREF _Toc9884 \h </w:instrText>
              </w:r>
              <w:r>
                <w:fldChar w:fldCharType="separate"/>
              </w:r>
              <w:r>
                <w:t>6</w:t>
              </w:r>
              <w:r>
                <w:fldChar w:fldCharType="end"/>
              </w:r>
              <w:r>
                <w:rPr>
                  <w:highlight w:val="none"/>
                </w:rPr>
                <w:fldChar w:fldCharType="end"/>
              </w:r>
            </w:p>
            <w:p>
              <w:pPr>
                <w:pStyle w:val="18"/>
                <w:tabs>
                  <w:tab w:val="right" w:leader="dot" w:pos="9683"/>
                </w:tabs>
              </w:pPr>
              <w:r>
                <w:rPr>
                  <w:highlight w:val="none"/>
                </w:rPr>
                <w:fldChar w:fldCharType="begin"/>
              </w:r>
              <w:r>
                <w:rPr>
                  <w:highlight w:val="none"/>
                </w:rPr>
                <w:instrText xml:space="preserve"> HYPERLINK \l _Toc5129 </w:instrText>
              </w:r>
              <w:r>
                <w:rPr>
                  <w:highlight w:val="none"/>
                </w:rPr>
                <w:fldChar w:fldCharType="separate"/>
              </w:r>
              <w:r>
                <w:rPr>
                  <w:rFonts w:hint="eastAsia" w:ascii="宋体" w:hAnsi="宋体" w:eastAsia="宋体" w:cs="宋体"/>
                  <w:szCs w:val="24"/>
                  <w:highlight w:val="none"/>
                  <w:lang w:val="en-US"/>
                </w:rPr>
                <w:t>5.</w:t>
              </w:r>
              <w:r>
                <w:rPr>
                  <w:rFonts w:hint="eastAsia" w:ascii="宋体" w:hAnsi="宋体" w:eastAsia="宋体" w:cs="宋体"/>
                  <w:szCs w:val="24"/>
                  <w:highlight w:val="none"/>
                </w:rPr>
                <w:t>投标文件的递交</w:t>
              </w:r>
              <w:r>
                <w:tab/>
              </w:r>
              <w:r>
                <w:fldChar w:fldCharType="begin"/>
              </w:r>
              <w:r>
                <w:instrText xml:space="preserve"> PAGEREF _Toc5129 \h </w:instrText>
              </w:r>
              <w:r>
                <w:fldChar w:fldCharType="separate"/>
              </w:r>
              <w:r>
                <w:t>6</w:t>
              </w:r>
              <w:r>
                <w:fldChar w:fldCharType="end"/>
              </w:r>
              <w:r>
                <w:rPr>
                  <w:highlight w:val="none"/>
                </w:rPr>
                <w:fldChar w:fldCharType="end"/>
              </w:r>
            </w:p>
            <w:p>
              <w:pPr>
                <w:pStyle w:val="18"/>
                <w:tabs>
                  <w:tab w:val="right" w:leader="dot" w:pos="9683"/>
                </w:tabs>
              </w:pPr>
              <w:r>
                <w:rPr>
                  <w:highlight w:val="none"/>
                </w:rPr>
                <w:fldChar w:fldCharType="begin"/>
              </w:r>
              <w:r>
                <w:rPr>
                  <w:highlight w:val="none"/>
                </w:rPr>
                <w:instrText xml:space="preserve"> HYPERLINK \l _Toc23800 </w:instrText>
              </w:r>
              <w:r>
                <w:rPr>
                  <w:highlight w:val="none"/>
                </w:rPr>
                <w:fldChar w:fldCharType="separate"/>
              </w:r>
              <w:r>
                <w:rPr>
                  <w:rFonts w:hint="eastAsia" w:ascii="宋体" w:hAnsi="宋体" w:eastAsia="宋体" w:cs="宋体"/>
                  <w:szCs w:val="24"/>
                  <w:highlight w:val="none"/>
                  <w:lang w:val="en-US"/>
                </w:rPr>
                <w:t>6.</w:t>
              </w:r>
              <w:r>
                <w:rPr>
                  <w:rFonts w:hint="eastAsia" w:ascii="宋体" w:hAnsi="宋体" w:eastAsia="宋体" w:cs="宋体"/>
                  <w:szCs w:val="24"/>
                  <w:highlight w:val="none"/>
                </w:rPr>
                <w:t>联系方式</w:t>
              </w:r>
              <w:r>
                <w:tab/>
              </w:r>
              <w:r>
                <w:fldChar w:fldCharType="begin"/>
              </w:r>
              <w:r>
                <w:instrText xml:space="preserve"> PAGEREF _Toc23800 \h </w:instrText>
              </w:r>
              <w:r>
                <w:fldChar w:fldCharType="separate"/>
              </w:r>
              <w:r>
                <w:t>6</w:t>
              </w:r>
              <w:r>
                <w:fldChar w:fldCharType="end"/>
              </w:r>
              <w:r>
                <w:rPr>
                  <w:highlight w:val="none"/>
                </w:rPr>
                <w:fldChar w:fldCharType="end"/>
              </w:r>
            </w:p>
            <w:p>
              <w:pPr>
                <w:pStyle w:val="17"/>
                <w:tabs>
                  <w:tab w:val="right" w:leader="dot" w:pos="9683"/>
                </w:tabs>
              </w:pPr>
              <w:r>
                <w:rPr>
                  <w:highlight w:val="none"/>
                </w:rPr>
                <w:fldChar w:fldCharType="begin"/>
              </w:r>
              <w:r>
                <w:rPr>
                  <w:highlight w:val="none"/>
                </w:rPr>
                <w:instrText xml:space="preserve"> HYPERLINK \l _Toc29242 </w:instrText>
              </w:r>
              <w:r>
                <w:rPr>
                  <w:highlight w:val="none"/>
                </w:rPr>
                <w:fldChar w:fldCharType="separate"/>
              </w:r>
              <w:r>
                <w:rPr>
                  <w:highlight w:val="none"/>
                </w:rPr>
                <w:t>第二章投标人须知</w:t>
              </w:r>
              <w:r>
                <w:tab/>
              </w:r>
              <w:r>
                <w:fldChar w:fldCharType="begin"/>
              </w:r>
              <w:r>
                <w:instrText xml:space="preserve"> PAGEREF _Toc29242 \h </w:instrText>
              </w:r>
              <w:r>
                <w:fldChar w:fldCharType="separate"/>
              </w:r>
              <w:r>
                <w:t>8</w:t>
              </w:r>
              <w:r>
                <w:fldChar w:fldCharType="end"/>
              </w:r>
              <w:r>
                <w:rPr>
                  <w:highlight w:val="none"/>
                </w:rPr>
                <w:fldChar w:fldCharType="end"/>
              </w:r>
            </w:p>
            <w:p>
              <w:pPr>
                <w:pStyle w:val="18"/>
                <w:tabs>
                  <w:tab w:val="right" w:leader="dot" w:pos="9683"/>
                </w:tabs>
              </w:pPr>
              <w:r>
                <w:rPr>
                  <w:highlight w:val="none"/>
                </w:rPr>
                <w:fldChar w:fldCharType="begin"/>
              </w:r>
              <w:r>
                <w:rPr>
                  <w:highlight w:val="none"/>
                </w:rPr>
                <w:instrText xml:space="preserve"> HYPERLINK \l _Toc14130 </w:instrText>
              </w:r>
              <w:r>
                <w:rPr>
                  <w:highlight w:val="none"/>
                </w:rPr>
                <w:fldChar w:fldCharType="separate"/>
              </w:r>
              <w:r>
                <w:rPr>
                  <w:highlight w:val="none"/>
                </w:rPr>
                <w:t>投标人须知前附表</w:t>
              </w:r>
              <w:r>
                <w:tab/>
              </w:r>
              <w:r>
                <w:fldChar w:fldCharType="begin"/>
              </w:r>
              <w:r>
                <w:instrText xml:space="preserve"> PAGEREF _Toc14130 \h </w:instrText>
              </w:r>
              <w:r>
                <w:fldChar w:fldCharType="separate"/>
              </w:r>
              <w:r>
                <w:t>8</w:t>
              </w:r>
              <w:r>
                <w:fldChar w:fldCharType="end"/>
              </w:r>
              <w:r>
                <w:rPr>
                  <w:highlight w:val="none"/>
                </w:rPr>
                <w:fldChar w:fldCharType="end"/>
              </w:r>
            </w:p>
            <w:p>
              <w:pPr>
                <w:pStyle w:val="18"/>
                <w:tabs>
                  <w:tab w:val="right" w:leader="dot" w:pos="9683"/>
                </w:tabs>
              </w:pPr>
              <w:r>
                <w:rPr>
                  <w:highlight w:val="none"/>
                </w:rPr>
                <w:fldChar w:fldCharType="begin"/>
              </w:r>
              <w:r>
                <w:rPr>
                  <w:highlight w:val="none"/>
                </w:rPr>
                <w:instrText xml:space="preserve"> HYPERLINK \l _Toc21165 </w:instrText>
              </w:r>
              <w:r>
                <w:rPr>
                  <w:highlight w:val="none"/>
                </w:rPr>
                <w:fldChar w:fldCharType="separate"/>
              </w:r>
              <w:r>
                <w:rPr>
                  <w:rFonts w:hint="eastAsia"/>
                  <w:szCs w:val="24"/>
                  <w:highlight w:val="none"/>
                  <w:lang w:val="en-US"/>
                </w:rPr>
                <w:t>投标人须知前附表附件</w:t>
              </w:r>
              <w:r>
                <w:tab/>
              </w:r>
              <w:r>
                <w:fldChar w:fldCharType="begin"/>
              </w:r>
              <w:r>
                <w:instrText xml:space="preserve"> PAGEREF _Toc21165 \h </w:instrText>
              </w:r>
              <w:r>
                <w:fldChar w:fldCharType="separate"/>
              </w:r>
              <w:r>
                <w:t>16</w:t>
              </w:r>
              <w:r>
                <w:fldChar w:fldCharType="end"/>
              </w:r>
              <w:r>
                <w:rPr>
                  <w:highlight w:val="none"/>
                </w:rPr>
                <w:fldChar w:fldCharType="end"/>
              </w:r>
            </w:p>
            <w:p>
              <w:pPr>
                <w:pStyle w:val="18"/>
                <w:tabs>
                  <w:tab w:val="right" w:leader="dot" w:pos="9683"/>
                </w:tabs>
              </w:pPr>
              <w:r>
                <w:rPr>
                  <w:highlight w:val="none"/>
                </w:rPr>
                <w:fldChar w:fldCharType="begin"/>
              </w:r>
              <w:r>
                <w:rPr>
                  <w:highlight w:val="none"/>
                </w:rPr>
                <w:instrText xml:space="preserve"> HYPERLINK \l _Toc19544 </w:instrText>
              </w:r>
              <w:r>
                <w:rPr>
                  <w:highlight w:val="none"/>
                </w:rPr>
                <w:fldChar w:fldCharType="separate"/>
              </w:r>
              <w:r>
                <w:rPr>
                  <w:rFonts w:hint="eastAsia" w:eastAsia="宋体"/>
                  <w:highlight w:val="none"/>
                  <w:lang w:val="en-US"/>
                </w:rPr>
                <w:t>1.</w:t>
              </w:r>
              <w:r>
                <w:rPr>
                  <w:highlight w:val="none"/>
                </w:rPr>
                <w:t>总则</w:t>
              </w:r>
              <w:r>
                <w:tab/>
              </w:r>
              <w:r>
                <w:fldChar w:fldCharType="begin"/>
              </w:r>
              <w:r>
                <w:instrText xml:space="preserve"> PAGEREF _Toc19544 \h </w:instrText>
              </w:r>
              <w:r>
                <w:fldChar w:fldCharType="separate"/>
              </w:r>
              <w:r>
                <w:t>18</w:t>
              </w:r>
              <w:r>
                <w:fldChar w:fldCharType="end"/>
              </w:r>
              <w:r>
                <w:rPr>
                  <w:highlight w:val="none"/>
                </w:rPr>
                <w:fldChar w:fldCharType="end"/>
              </w:r>
            </w:p>
            <w:p>
              <w:pPr>
                <w:pStyle w:val="13"/>
                <w:tabs>
                  <w:tab w:val="right" w:leader="dot" w:pos="9683"/>
                </w:tabs>
              </w:pPr>
              <w:r>
                <w:rPr>
                  <w:highlight w:val="none"/>
                </w:rPr>
                <w:fldChar w:fldCharType="begin"/>
              </w:r>
              <w:r>
                <w:rPr>
                  <w:highlight w:val="none"/>
                </w:rPr>
                <w:instrText xml:space="preserve"> HYPERLINK \l _Toc24417 </w:instrText>
              </w:r>
              <w:r>
                <w:rPr>
                  <w:highlight w:val="none"/>
                </w:rPr>
                <w:fldChar w:fldCharType="separate"/>
              </w:r>
              <w:r>
                <w:rPr>
                  <w:rFonts w:hint="default" w:ascii="Times New Roman" w:hAnsi="Times New Roman" w:eastAsia="Times New Roman" w:cs="Times New Roman"/>
                  <w:w w:val="100"/>
                  <w:szCs w:val="28"/>
                  <w:lang w:val="zh-CN" w:eastAsia="zh-CN" w:bidi="zh-CN"/>
                </w:rPr>
                <w:t xml:space="preserve">1.1 </w:t>
              </w:r>
              <w:r>
                <w:rPr>
                  <w:spacing w:val="-1"/>
                  <w:highlight w:val="none"/>
                </w:rPr>
                <w:t>招标项目概况</w:t>
              </w:r>
              <w:r>
                <w:tab/>
              </w:r>
              <w:r>
                <w:fldChar w:fldCharType="begin"/>
              </w:r>
              <w:r>
                <w:instrText xml:space="preserve"> PAGEREF _Toc24417 \h </w:instrText>
              </w:r>
              <w:r>
                <w:fldChar w:fldCharType="separate"/>
              </w:r>
              <w:r>
                <w:t>18</w:t>
              </w:r>
              <w:r>
                <w:fldChar w:fldCharType="end"/>
              </w:r>
              <w:r>
                <w:rPr>
                  <w:highlight w:val="none"/>
                </w:rPr>
                <w:fldChar w:fldCharType="end"/>
              </w:r>
            </w:p>
            <w:p>
              <w:pPr>
                <w:pStyle w:val="13"/>
                <w:tabs>
                  <w:tab w:val="right" w:leader="dot" w:pos="9683"/>
                </w:tabs>
              </w:pPr>
              <w:r>
                <w:rPr>
                  <w:highlight w:val="none"/>
                </w:rPr>
                <w:fldChar w:fldCharType="begin"/>
              </w:r>
              <w:r>
                <w:rPr>
                  <w:highlight w:val="none"/>
                </w:rPr>
                <w:instrText xml:space="preserve"> HYPERLINK \l _Toc18007 </w:instrText>
              </w:r>
              <w:r>
                <w:rPr>
                  <w:highlight w:val="none"/>
                </w:rPr>
                <w:fldChar w:fldCharType="separate"/>
              </w:r>
              <w:r>
                <w:rPr>
                  <w:rFonts w:hint="default" w:ascii="Times New Roman" w:hAnsi="Times New Roman" w:eastAsia="Times New Roman" w:cs="Times New Roman"/>
                  <w:w w:val="100"/>
                  <w:szCs w:val="28"/>
                  <w:lang w:val="zh-CN" w:eastAsia="zh-CN" w:bidi="zh-CN"/>
                </w:rPr>
                <w:t xml:space="preserve">1.2 </w:t>
              </w:r>
              <w:r>
                <w:rPr>
                  <w:spacing w:val="-3"/>
                  <w:highlight w:val="none"/>
                </w:rPr>
                <w:t>招标项目的资金来源和落实情况</w:t>
              </w:r>
              <w:r>
                <w:tab/>
              </w:r>
              <w:r>
                <w:fldChar w:fldCharType="begin"/>
              </w:r>
              <w:r>
                <w:instrText xml:space="preserve"> PAGEREF _Toc18007 \h </w:instrText>
              </w:r>
              <w:r>
                <w:fldChar w:fldCharType="separate"/>
              </w:r>
              <w:r>
                <w:t>18</w:t>
              </w:r>
              <w:r>
                <w:fldChar w:fldCharType="end"/>
              </w:r>
              <w:r>
                <w:rPr>
                  <w:highlight w:val="none"/>
                </w:rPr>
                <w:fldChar w:fldCharType="end"/>
              </w:r>
            </w:p>
            <w:p>
              <w:pPr>
                <w:pStyle w:val="13"/>
                <w:tabs>
                  <w:tab w:val="right" w:leader="dot" w:pos="9683"/>
                </w:tabs>
              </w:pPr>
              <w:r>
                <w:rPr>
                  <w:highlight w:val="none"/>
                </w:rPr>
                <w:fldChar w:fldCharType="begin"/>
              </w:r>
              <w:r>
                <w:rPr>
                  <w:highlight w:val="none"/>
                </w:rPr>
                <w:instrText xml:space="preserve"> HYPERLINK \l _Toc4275 </w:instrText>
              </w:r>
              <w:r>
                <w:rPr>
                  <w:highlight w:val="none"/>
                </w:rPr>
                <w:fldChar w:fldCharType="separate"/>
              </w:r>
              <w:r>
                <w:rPr>
                  <w:rFonts w:hint="default" w:ascii="Times New Roman" w:hAnsi="Times New Roman" w:eastAsia="Times New Roman" w:cs="Times New Roman"/>
                  <w:w w:val="100"/>
                  <w:szCs w:val="28"/>
                  <w:lang w:val="zh-CN" w:eastAsia="zh-CN" w:bidi="zh-CN"/>
                </w:rPr>
                <w:t xml:space="preserve">1.3 </w:t>
              </w:r>
              <w:r>
                <w:rPr>
                  <w:spacing w:val="-3"/>
                  <w:highlight w:val="none"/>
                </w:rPr>
                <w:t>招标范围、</w:t>
              </w:r>
              <w:r>
                <w:rPr>
                  <w:rFonts w:hint="eastAsia"/>
                  <w:spacing w:val="-3"/>
                  <w:highlight w:val="none"/>
                  <w:lang w:val="en-US"/>
                </w:rPr>
                <w:t>服务工</w:t>
              </w:r>
              <w:r>
                <w:rPr>
                  <w:spacing w:val="-3"/>
                  <w:highlight w:val="none"/>
                </w:rPr>
                <w:t>期、</w:t>
              </w:r>
              <w:r>
                <w:rPr>
                  <w:rFonts w:hint="eastAsia"/>
                  <w:spacing w:val="-3"/>
                  <w:highlight w:val="none"/>
                  <w:lang w:val="en-US"/>
                </w:rPr>
                <w:t>服务</w:t>
              </w:r>
              <w:r>
                <w:rPr>
                  <w:spacing w:val="-3"/>
                  <w:highlight w:val="none"/>
                </w:rPr>
                <w:t>地点和质量标准</w:t>
              </w:r>
              <w:r>
                <w:tab/>
              </w:r>
              <w:r>
                <w:fldChar w:fldCharType="begin"/>
              </w:r>
              <w:r>
                <w:instrText xml:space="preserve"> PAGEREF _Toc4275 \h </w:instrText>
              </w:r>
              <w:r>
                <w:fldChar w:fldCharType="separate"/>
              </w:r>
              <w:r>
                <w:t>18</w:t>
              </w:r>
              <w:r>
                <w:fldChar w:fldCharType="end"/>
              </w:r>
              <w:r>
                <w:rPr>
                  <w:highlight w:val="none"/>
                </w:rPr>
                <w:fldChar w:fldCharType="end"/>
              </w:r>
            </w:p>
            <w:p>
              <w:pPr>
                <w:pStyle w:val="13"/>
                <w:tabs>
                  <w:tab w:val="right" w:leader="dot" w:pos="9683"/>
                </w:tabs>
              </w:pPr>
              <w:r>
                <w:rPr>
                  <w:highlight w:val="none"/>
                </w:rPr>
                <w:fldChar w:fldCharType="begin"/>
              </w:r>
              <w:r>
                <w:rPr>
                  <w:highlight w:val="none"/>
                </w:rPr>
                <w:instrText xml:space="preserve"> HYPERLINK \l _Toc21912 </w:instrText>
              </w:r>
              <w:r>
                <w:rPr>
                  <w:highlight w:val="none"/>
                </w:rPr>
                <w:fldChar w:fldCharType="separate"/>
              </w:r>
              <w:r>
                <w:rPr>
                  <w:rFonts w:hint="default" w:ascii="Times New Roman" w:hAnsi="Times New Roman" w:eastAsia="Times New Roman" w:cs="Times New Roman"/>
                  <w:w w:val="100"/>
                  <w:szCs w:val="28"/>
                  <w:lang w:val="zh-CN" w:eastAsia="zh-CN" w:bidi="zh-CN"/>
                </w:rPr>
                <w:t xml:space="preserve">1.4 </w:t>
              </w:r>
              <w:r>
                <w:rPr>
                  <w:spacing w:val="-1"/>
                  <w:highlight w:val="none"/>
                </w:rPr>
                <w:t>投标人资格要求</w:t>
              </w:r>
              <w:r>
                <w:tab/>
              </w:r>
              <w:r>
                <w:fldChar w:fldCharType="begin"/>
              </w:r>
              <w:r>
                <w:instrText xml:space="preserve"> PAGEREF _Toc21912 \h </w:instrText>
              </w:r>
              <w:r>
                <w:fldChar w:fldCharType="separate"/>
              </w:r>
              <w:r>
                <w:t>18</w:t>
              </w:r>
              <w:r>
                <w:fldChar w:fldCharType="end"/>
              </w:r>
              <w:r>
                <w:rPr>
                  <w:highlight w:val="none"/>
                </w:rPr>
                <w:fldChar w:fldCharType="end"/>
              </w:r>
            </w:p>
            <w:p>
              <w:pPr>
                <w:pStyle w:val="13"/>
                <w:tabs>
                  <w:tab w:val="right" w:leader="dot" w:pos="9683"/>
                </w:tabs>
              </w:pPr>
              <w:r>
                <w:rPr>
                  <w:highlight w:val="none"/>
                </w:rPr>
                <w:fldChar w:fldCharType="begin"/>
              </w:r>
              <w:r>
                <w:rPr>
                  <w:highlight w:val="none"/>
                </w:rPr>
                <w:instrText xml:space="preserve"> HYPERLINK \l _Toc30187 </w:instrText>
              </w:r>
              <w:r>
                <w:rPr>
                  <w:highlight w:val="none"/>
                </w:rPr>
                <w:fldChar w:fldCharType="separate"/>
              </w:r>
              <w:r>
                <w:rPr>
                  <w:rFonts w:hint="default" w:ascii="Times New Roman" w:hAnsi="Times New Roman" w:eastAsia="Times New Roman" w:cs="Times New Roman"/>
                  <w:w w:val="100"/>
                  <w:szCs w:val="28"/>
                  <w:lang w:val="zh-CN" w:eastAsia="zh-CN" w:bidi="zh-CN"/>
                </w:rPr>
                <w:t xml:space="preserve">1.5 </w:t>
              </w:r>
              <w:r>
                <w:rPr>
                  <w:highlight w:val="none"/>
                </w:rPr>
                <w:t>费用承担</w:t>
              </w:r>
              <w:r>
                <w:tab/>
              </w:r>
              <w:r>
                <w:fldChar w:fldCharType="begin"/>
              </w:r>
              <w:r>
                <w:instrText xml:space="preserve"> PAGEREF _Toc30187 \h </w:instrText>
              </w:r>
              <w:r>
                <w:fldChar w:fldCharType="separate"/>
              </w:r>
              <w:r>
                <w:t>20</w:t>
              </w:r>
              <w:r>
                <w:fldChar w:fldCharType="end"/>
              </w:r>
              <w:r>
                <w:rPr>
                  <w:highlight w:val="none"/>
                </w:rPr>
                <w:fldChar w:fldCharType="end"/>
              </w:r>
            </w:p>
            <w:p>
              <w:pPr>
                <w:pStyle w:val="13"/>
                <w:tabs>
                  <w:tab w:val="right" w:leader="dot" w:pos="9683"/>
                </w:tabs>
              </w:pPr>
              <w:r>
                <w:rPr>
                  <w:highlight w:val="none"/>
                </w:rPr>
                <w:fldChar w:fldCharType="begin"/>
              </w:r>
              <w:r>
                <w:rPr>
                  <w:highlight w:val="none"/>
                </w:rPr>
                <w:instrText xml:space="preserve"> HYPERLINK \l _Toc30491 </w:instrText>
              </w:r>
              <w:r>
                <w:rPr>
                  <w:highlight w:val="none"/>
                </w:rPr>
                <w:fldChar w:fldCharType="separate"/>
              </w:r>
              <w:r>
                <w:rPr>
                  <w:rFonts w:hint="default" w:ascii="Times New Roman" w:hAnsi="Times New Roman" w:eastAsia="Times New Roman" w:cs="Times New Roman"/>
                  <w:w w:val="100"/>
                  <w:szCs w:val="28"/>
                  <w:lang w:val="zh-CN" w:eastAsia="zh-CN" w:bidi="zh-CN"/>
                </w:rPr>
                <w:t xml:space="preserve">1.6 </w:t>
              </w:r>
              <w:r>
                <w:rPr>
                  <w:highlight w:val="none"/>
                </w:rPr>
                <w:t>保密</w:t>
              </w:r>
              <w:r>
                <w:tab/>
              </w:r>
              <w:r>
                <w:fldChar w:fldCharType="begin"/>
              </w:r>
              <w:r>
                <w:instrText xml:space="preserve"> PAGEREF _Toc30491 \h </w:instrText>
              </w:r>
              <w:r>
                <w:fldChar w:fldCharType="separate"/>
              </w:r>
              <w:r>
                <w:t>20</w:t>
              </w:r>
              <w:r>
                <w:fldChar w:fldCharType="end"/>
              </w:r>
              <w:r>
                <w:rPr>
                  <w:highlight w:val="none"/>
                </w:rPr>
                <w:fldChar w:fldCharType="end"/>
              </w:r>
            </w:p>
            <w:p>
              <w:pPr>
                <w:pStyle w:val="13"/>
                <w:tabs>
                  <w:tab w:val="right" w:leader="dot" w:pos="9683"/>
                </w:tabs>
              </w:pPr>
              <w:r>
                <w:rPr>
                  <w:highlight w:val="none"/>
                </w:rPr>
                <w:fldChar w:fldCharType="begin"/>
              </w:r>
              <w:r>
                <w:rPr>
                  <w:highlight w:val="none"/>
                </w:rPr>
                <w:instrText xml:space="preserve"> HYPERLINK \l _Toc32639 </w:instrText>
              </w:r>
              <w:r>
                <w:rPr>
                  <w:highlight w:val="none"/>
                </w:rPr>
                <w:fldChar w:fldCharType="separate"/>
              </w:r>
              <w:r>
                <w:rPr>
                  <w:rFonts w:hint="default" w:ascii="Times New Roman" w:hAnsi="Times New Roman" w:eastAsia="Times New Roman" w:cs="Times New Roman"/>
                  <w:w w:val="100"/>
                  <w:szCs w:val="28"/>
                  <w:lang w:val="zh-CN" w:eastAsia="zh-CN" w:bidi="zh-CN"/>
                </w:rPr>
                <w:t xml:space="preserve">1.7 </w:t>
              </w:r>
              <w:r>
                <w:rPr>
                  <w:highlight w:val="none"/>
                </w:rPr>
                <w:t>语言文字</w:t>
              </w:r>
              <w:r>
                <w:tab/>
              </w:r>
              <w:r>
                <w:fldChar w:fldCharType="begin"/>
              </w:r>
              <w:r>
                <w:instrText xml:space="preserve"> PAGEREF _Toc32639 \h </w:instrText>
              </w:r>
              <w:r>
                <w:fldChar w:fldCharType="separate"/>
              </w:r>
              <w:r>
                <w:t>20</w:t>
              </w:r>
              <w:r>
                <w:fldChar w:fldCharType="end"/>
              </w:r>
              <w:r>
                <w:rPr>
                  <w:highlight w:val="none"/>
                </w:rPr>
                <w:fldChar w:fldCharType="end"/>
              </w:r>
            </w:p>
            <w:p>
              <w:pPr>
                <w:pStyle w:val="13"/>
                <w:tabs>
                  <w:tab w:val="right" w:leader="dot" w:pos="9683"/>
                </w:tabs>
              </w:pPr>
              <w:r>
                <w:rPr>
                  <w:highlight w:val="none"/>
                </w:rPr>
                <w:fldChar w:fldCharType="begin"/>
              </w:r>
              <w:r>
                <w:rPr>
                  <w:highlight w:val="none"/>
                </w:rPr>
                <w:instrText xml:space="preserve"> HYPERLINK \l _Toc27437 </w:instrText>
              </w:r>
              <w:r>
                <w:rPr>
                  <w:highlight w:val="none"/>
                </w:rPr>
                <w:fldChar w:fldCharType="separate"/>
              </w:r>
              <w:r>
                <w:rPr>
                  <w:rFonts w:hint="default" w:ascii="Times New Roman" w:hAnsi="Times New Roman" w:eastAsia="Times New Roman" w:cs="Times New Roman"/>
                  <w:w w:val="100"/>
                  <w:szCs w:val="28"/>
                  <w:lang w:val="zh-CN" w:eastAsia="zh-CN" w:bidi="zh-CN"/>
                </w:rPr>
                <w:t xml:space="preserve">1.8 </w:t>
              </w:r>
              <w:r>
                <w:rPr>
                  <w:highlight w:val="none"/>
                </w:rPr>
                <w:t>计量单位</w:t>
              </w:r>
              <w:r>
                <w:tab/>
              </w:r>
              <w:r>
                <w:fldChar w:fldCharType="begin"/>
              </w:r>
              <w:r>
                <w:instrText xml:space="preserve"> PAGEREF _Toc27437 \h </w:instrText>
              </w:r>
              <w:r>
                <w:fldChar w:fldCharType="separate"/>
              </w:r>
              <w:r>
                <w:t>20</w:t>
              </w:r>
              <w:r>
                <w:fldChar w:fldCharType="end"/>
              </w:r>
              <w:r>
                <w:rPr>
                  <w:highlight w:val="none"/>
                </w:rPr>
                <w:fldChar w:fldCharType="end"/>
              </w:r>
            </w:p>
            <w:p>
              <w:pPr>
                <w:pStyle w:val="13"/>
                <w:tabs>
                  <w:tab w:val="right" w:leader="dot" w:pos="9683"/>
                </w:tabs>
              </w:pPr>
              <w:r>
                <w:rPr>
                  <w:highlight w:val="none"/>
                </w:rPr>
                <w:fldChar w:fldCharType="begin"/>
              </w:r>
              <w:r>
                <w:rPr>
                  <w:highlight w:val="none"/>
                </w:rPr>
                <w:instrText xml:space="preserve"> HYPERLINK \l _Toc24456 </w:instrText>
              </w:r>
              <w:r>
                <w:rPr>
                  <w:highlight w:val="none"/>
                </w:rPr>
                <w:fldChar w:fldCharType="separate"/>
              </w:r>
              <w:r>
                <w:rPr>
                  <w:rFonts w:hint="default" w:ascii="Times New Roman" w:hAnsi="Times New Roman" w:eastAsia="Times New Roman" w:cs="Times New Roman"/>
                  <w:w w:val="100"/>
                  <w:szCs w:val="28"/>
                  <w:lang w:val="zh-CN" w:eastAsia="zh-CN" w:bidi="zh-CN"/>
                </w:rPr>
                <w:t xml:space="preserve">1.9 </w:t>
              </w:r>
              <w:r>
                <w:rPr>
                  <w:spacing w:val="-1"/>
                  <w:highlight w:val="none"/>
                </w:rPr>
                <w:t>投标预备会</w:t>
              </w:r>
              <w:r>
                <w:tab/>
              </w:r>
              <w:r>
                <w:fldChar w:fldCharType="begin"/>
              </w:r>
              <w:r>
                <w:instrText xml:space="preserve"> PAGEREF _Toc24456 \h </w:instrText>
              </w:r>
              <w:r>
                <w:fldChar w:fldCharType="separate"/>
              </w:r>
              <w:r>
                <w:t>20</w:t>
              </w:r>
              <w:r>
                <w:fldChar w:fldCharType="end"/>
              </w:r>
              <w:r>
                <w:rPr>
                  <w:highlight w:val="none"/>
                </w:rPr>
                <w:fldChar w:fldCharType="end"/>
              </w:r>
            </w:p>
            <w:p>
              <w:pPr>
                <w:pStyle w:val="13"/>
                <w:tabs>
                  <w:tab w:val="right" w:leader="dot" w:pos="9683"/>
                </w:tabs>
              </w:pPr>
              <w:r>
                <w:rPr>
                  <w:highlight w:val="none"/>
                </w:rPr>
                <w:fldChar w:fldCharType="begin"/>
              </w:r>
              <w:r>
                <w:rPr>
                  <w:highlight w:val="none"/>
                </w:rPr>
                <w:instrText xml:space="preserve"> HYPERLINK \l _Toc19061 </w:instrText>
              </w:r>
              <w:r>
                <w:rPr>
                  <w:highlight w:val="none"/>
                </w:rPr>
                <w:fldChar w:fldCharType="separate"/>
              </w:r>
              <w:r>
                <w:rPr>
                  <w:rFonts w:hint="default" w:ascii="Times New Roman" w:hAnsi="Times New Roman" w:eastAsia="Times New Roman" w:cs="Times New Roman"/>
                  <w:w w:val="100"/>
                  <w:szCs w:val="28"/>
                  <w:lang w:val="zh-CN" w:eastAsia="zh-CN" w:bidi="zh-CN"/>
                </w:rPr>
                <w:t xml:space="preserve">1.10 </w:t>
              </w:r>
              <w:r>
                <w:rPr>
                  <w:highlight w:val="none"/>
                </w:rPr>
                <w:t>分包</w:t>
              </w:r>
              <w:r>
                <w:tab/>
              </w:r>
              <w:r>
                <w:fldChar w:fldCharType="begin"/>
              </w:r>
              <w:r>
                <w:instrText xml:space="preserve"> PAGEREF _Toc19061 \h </w:instrText>
              </w:r>
              <w:r>
                <w:fldChar w:fldCharType="separate"/>
              </w:r>
              <w:r>
                <w:t>20</w:t>
              </w:r>
              <w:r>
                <w:fldChar w:fldCharType="end"/>
              </w:r>
              <w:r>
                <w:rPr>
                  <w:highlight w:val="none"/>
                </w:rPr>
                <w:fldChar w:fldCharType="end"/>
              </w:r>
            </w:p>
            <w:p>
              <w:pPr>
                <w:pStyle w:val="13"/>
                <w:tabs>
                  <w:tab w:val="right" w:leader="dot" w:pos="9683"/>
                </w:tabs>
              </w:pPr>
              <w:r>
                <w:rPr>
                  <w:highlight w:val="none"/>
                </w:rPr>
                <w:fldChar w:fldCharType="begin"/>
              </w:r>
              <w:r>
                <w:rPr>
                  <w:highlight w:val="none"/>
                </w:rPr>
                <w:instrText xml:space="preserve"> HYPERLINK \l _Toc10019 </w:instrText>
              </w:r>
              <w:r>
                <w:rPr>
                  <w:highlight w:val="none"/>
                </w:rPr>
                <w:fldChar w:fldCharType="separate"/>
              </w:r>
              <w:r>
                <w:rPr>
                  <w:rFonts w:hint="default" w:ascii="Times New Roman" w:hAnsi="Times New Roman" w:eastAsia="Times New Roman" w:cs="Times New Roman"/>
                  <w:w w:val="100"/>
                  <w:szCs w:val="28"/>
                  <w:lang w:val="zh-CN" w:eastAsia="zh-CN" w:bidi="zh-CN"/>
                </w:rPr>
                <w:t xml:space="preserve">1.11 </w:t>
              </w:r>
              <w:r>
                <w:rPr>
                  <w:spacing w:val="-1"/>
                  <w:highlight w:val="none"/>
                </w:rPr>
                <w:t>响应和偏差</w:t>
              </w:r>
              <w:r>
                <w:tab/>
              </w:r>
              <w:r>
                <w:fldChar w:fldCharType="begin"/>
              </w:r>
              <w:r>
                <w:instrText xml:space="preserve"> PAGEREF _Toc10019 \h </w:instrText>
              </w:r>
              <w:r>
                <w:fldChar w:fldCharType="separate"/>
              </w:r>
              <w:r>
                <w:t>20</w:t>
              </w:r>
              <w:r>
                <w:fldChar w:fldCharType="end"/>
              </w:r>
              <w:r>
                <w:rPr>
                  <w:highlight w:val="none"/>
                </w:rPr>
                <w:fldChar w:fldCharType="end"/>
              </w:r>
            </w:p>
            <w:p>
              <w:pPr>
                <w:pStyle w:val="18"/>
                <w:tabs>
                  <w:tab w:val="right" w:leader="dot" w:pos="9683"/>
                </w:tabs>
              </w:pPr>
              <w:r>
                <w:rPr>
                  <w:highlight w:val="none"/>
                </w:rPr>
                <w:fldChar w:fldCharType="begin"/>
              </w:r>
              <w:r>
                <w:rPr>
                  <w:highlight w:val="none"/>
                </w:rPr>
                <w:instrText xml:space="preserve"> HYPERLINK \l _Toc6251 </w:instrText>
              </w:r>
              <w:r>
                <w:rPr>
                  <w:highlight w:val="none"/>
                </w:rPr>
                <w:fldChar w:fldCharType="separate"/>
              </w:r>
              <w:r>
                <w:rPr>
                  <w:rFonts w:hint="default" w:ascii="Times New Roman" w:hAnsi="Times New Roman" w:eastAsia="Times New Roman" w:cs="Times New Roman"/>
                  <w:bCs/>
                  <w:w w:val="99"/>
                  <w:szCs w:val="32"/>
                  <w:lang w:val="zh-CN" w:eastAsia="zh-CN" w:bidi="zh-CN"/>
                </w:rPr>
                <w:t xml:space="preserve">2. </w:t>
              </w:r>
              <w:r>
                <w:rPr>
                  <w:highlight w:val="none"/>
                </w:rPr>
                <w:t>招标文件</w:t>
              </w:r>
              <w:r>
                <w:tab/>
              </w:r>
              <w:r>
                <w:fldChar w:fldCharType="begin"/>
              </w:r>
              <w:r>
                <w:instrText xml:space="preserve"> PAGEREF _Toc6251 \h </w:instrText>
              </w:r>
              <w:r>
                <w:fldChar w:fldCharType="separate"/>
              </w:r>
              <w:r>
                <w:t>21</w:t>
              </w:r>
              <w:r>
                <w:fldChar w:fldCharType="end"/>
              </w:r>
              <w:r>
                <w:rPr>
                  <w:highlight w:val="none"/>
                </w:rPr>
                <w:fldChar w:fldCharType="end"/>
              </w:r>
            </w:p>
            <w:p>
              <w:pPr>
                <w:pStyle w:val="13"/>
                <w:tabs>
                  <w:tab w:val="right" w:leader="dot" w:pos="9683"/>
                </w:tabs>
              </w:pPr>
              <w:r>
                <w:rPr>
                  <w:highlight w:val="none"/>
                </w:rPr>
                <w:fldChar w:fldCharType="begin"/>
              </w:r>
              <w:r>
                <w:rPr>
                  <w:highlight w:val="none"/>
                </w:rPr>
                <w:instrText xml:space="preserve"> HYPERLINK \l _Toc20360 </w:instrText>
              </w:r>
              <w:r>
                <w:rPr>
                  <w:highlight w:val="none"/>
                </w:rPr>
                <w:fldChar w:fldCharType="separate"/>
              </w:r>
              <w:r>
                <w:rPr>
                  <w:rFonts w:hint="default" w:ascii="Times New Roman" w:hAnsi="Times New Roman" w:eastAsia="Times New Roman" w:cs="Times New Roman"/>
                  <w:w w:val="100"/>
                  <w:szCs w:val="28"/>
                  <w:lang w:val="zh-CN" w:eastAsia="zh-CN" w:bidi="zh-CN"/>
                </w:rPr>
                <w:t xml:space="preserve">2.1 </w:t>
              </w:r>
              <w:r>
                <w:rPr>
                  <w:spacing w:val="-1"/>
                  <w:highlight w:val="none"/>
                </w:rPr>
                <w:t>招标文件的组成</w:t>
              </w:r>
              <w:r>
                <w:tab/>
              </w:r>
              <w:r>
                <w:fldChar w:fldCharType="begin"/>
              </w:r>
              <w:r>
                <w:instrText xml:space="preserve"> PAGEREF _Toc20360 \h </w:instrText>
              </w:r>
              <w:r>
                <w:fldChar w:fldCharType="separate"/>
              </w:r>
              <w:r>
                <w:t>21</w:t>
              </w:r>
              <w:r>
                <w:fldChar w:fldCharType="end"/>
              </w:r>
              <w:r>
                <w:rPr>
                  <w:highlight w:val="none"/>
                </w:rPr>
                <w:fldChar w:fldCharType="end"/>
              </w:r>
            </w:p>
            <w:p>
              <w:pPr>
                <w:pStyle w:val="13"/>
                <w:tabs>
                  <w:tab w:val="right" w:leader="dot" w:pos="9683"/>
                </w:tabs>
              </w:pPr>
              <w:r>
                <w:rPr>
                  <w:highlight w:val="none"/>
                </w:rPr>
                <w:fldChar w:fldCharType="begin"/>
              </w:r>
              <w:r>
                <w:rPr>
                  <w:highlight w:val="none"/>
                </w:rPr>
                <w:instrText xml:space="preserve"> HYPERLINK \l _Toc26241 </w:instrText>
              </w:r>
              <w:r>
                <w:rPr>
                  <w:highlight w:val="none"/>
                </w:rPr>
                <w:fldChar w:fldCharType="separate"/>
              </w:r>
              <w:r>
                <w:rPr>
                  <w:rFonts w:hint="default" w:ascii="Times New Roman" w:hAnsi="Times New Roman" w:eastAsia="Times New Roman" w:cs="Times New Roman"/>
                  <w:w w:val="100"/>
                  <w:szCs w:val="28"/>
                  <w:lang w:val="zh-CN" w:eastAsia="zh-CN" w:bidi="zh-CN"/>
                </w:rPr>
                <w:t xml:space="preserve">2.2 </w:t>
              </w:r>
              <w:r>
                <w:rPr>
                  <w:spacing w:val="-1"/>
                  <w:highlight w:val="none"/>
                </w:rPr>
                <w:t>招标文件的澄清</w:t>
              </w:r>
              <w:r>
                <w:tab/>
              </w:r>
              <w:r>
                <w:fldChar w:fldCharType="begin"/>
              </w:r>
              <w:r>
                <w:instrText xml:space="preserve"> PAGEREF _Toc26241 \h </w:instrText>
              </w:r>
              <w:r>
                <w:fldChar w:fldCharType="separate"/>
              </w:r>
              <w:r>
                <w:t>21</w:t>
              </w:r>
              <w:r>
                <w:fldChar w:fldCharType="end"/>
              </w:r>
              <w:r>
                <w:rPr>
                  <w:highlight w:val="none"/>
                </w:rPr>
                <w:fldChar w:fldCharType="end"/>
              </w:r>
            </w:p>
            <w:p>
              <w:pPr>
                <w:pStyle w:val="13"/>
                <w:tabs>
                  <w:tab w:val="right" w:leader="dot" w:pos="9683"/>
                </w:tabs>
              </w:pPr>
              <w:r>
                <w:rPr>
                  <w:highlight w:val="none"/>
                </w:rPr>
                <w:fldChar w:fldCharType="begin"/>
              </w:r>
              <w:r>
                <w:rPr>
                  <w:highlight w:val="none"/>
                </w:rPr>
                <w:instrText xml:space="preserve"> HYPERLINK \l _Toc5399 </w:instrText>
              </w:r>
              <w:r>
                <w:rPr>
                  <w:highlight w:val="none"/>
                </w:rPr>
                <w:fldChar w:fldCharType="separate"/>
              </w:r>
              <w:r>
                <w:rPr>
                  <w:rFonts w:hint="default" w:ascii="Times New Roman" w:hAnsi="Times New Roman" w:eastAsia="Times New Roman" w:cs="Times New Roman"/>
                  <w:w w:val="100"/>
                  <w:szCs w:val="28"/>
                  <w:lang w:val="zh-CN" w:eastAsia="zh-CN" w:bidi="zh-CN"/>
                </w:rPr>
                <w:t xml:space="preserve">2.3 </w:t>
              </w:r>
              <w:r>
                <w:rPr>
                  <w:spacing w:val="-1"/>
                  <w:highlight w:val="none"/>
                </w:rPr>
                <w:t>招标文件的修改</w:t>
              </w:r>
              <w:r>
                <w:tab/>
              </w:r>
              <w:r>
                <w:fldChar w:fldCharType="begin"/>
              </w:r>
              <w:r>
                <w:instrText xml:space="preserve"> PAGEREF _Toc5399 \h </w:instrText>
              </w:r>
              <w:r>
                <w:fldChar w:fldCharType="separate"/>
              </w:r>
              <w:r>
                <w:t>22</w:t>
              </w:r>
              <w:r>
                <w:fldChar w:fldCharType="end"/>
              </w:r>
              <w:r>
                <w:rPr>
                  <w:highlight w:val="none"/>
                </w:rPr>
                <w:fldChar w:fldCharType="end"/>
              </w:r>
            </w:p>
            <w:p>
              <w:pPr>
                <w:pStyle w:val="13"/>
                <w:tabs>
                  <w:tab w:val="right" w:leader="dot" w:pos="9683"/>
                </w:tabs>
              </w:pPr>
              <w:r>
                <w:rPr>
                  <w:highlight w:val="none"/>
                </w:rPr>
                <w:fldChar w:fldCharType="begin"/>
              </w:r>
              <w:r>
                <w:rPr>
                  <w:highlight w:val="none"/>
                </w:rPr>
                <w:instrText xml:space="preserve"> HYPERLINK \l _Toc30079 </w:instrText>
              </w:r>
              <w:r>
                <w:rPr>
                  <w:highlight w:val="none"/>
                </w:rPr>
                <w:fldChar w:fldCharType="separate"/>
              </w:r>
              <w:r>
                <w:rPr>
                  <w:rFonts w:hint="default" w:ascii="Times New Roman" w:hAnsi="Times New Roman" w:eastAsia="Times New Roman" w:cs="Times New Roman"/>
                  <w:w w:val="100"/>
                  <w:szCs w:val="28"/>
                  <w:lang w:val="zh-CN" w:eastAsia="zh-CN" w:bidi="zh-CN"/>
                </w:rPr>
                <w:t xml:space="preserve">2.4 </w:t>
              </w:r>
              <w:r>
                <w:rPr>
                  <w:spacing w:val="-1"/>
                  <w:highlight w:val="none"/>
                </w:rPr>
                <w:t>招标文件的异议</w:t>
              </w:r>
              <w:r>
                <w:tab/>
              </w:r>
              <w:r>
                <w:fldChar w:fldCharType="begin"/>
              </w:r>
              <w:r>
                <w:instrText xml:space="preserve"> PAGEREF _Toc30079 \h </w:instrText>
              </w:r>
              <w:r>
                <w:fldChar w:fldCharType="separate"/>
              </w:r>
              <w:r>
                <w:t>22</w:t>
              </w:r>
              <w:r>
                <w:fldChar w:fldCharType="end"/>
              </w:r>
              <w:r>
                <w:rPr>
                  <w:highlight w:val="none"/>
                </w:rPr>
                <w:fldChar w:fldCharType="end"/>
              </w:r>
            </w:p>
            <w:p>
              <w:pPr>
                <w:pStyle w:val="18"/>
                <w:tabs>
                  <w:tab w:val="right" w:leader="dot" w:pos="9683"/>
                </w:tabs>
              </w:pPr>
              <w:r>
                <w:rPr>
                  <w:highlight w:val="none"/>
                </w:rPr>
                <w:fldChar w:fldCharType="begin"/>
              </w:r>
              <w:r>
                <w:rPr>
                  <w:highlight w:val="none"/>
                </w:rPr>
                <w:instrText xml:space="preserve"> HYPERLINK \l _Toc31673 </w:instrText>
              </w:r>
              <w:r>
                <w:rPr>
                  <w:highlight w:val="none"/>
                </w:rPr>
                <w:fldChar w:fldCharType="separate"/>
              </w:r>
              <w:r>
                <w:rPr>
                  <w:rFonts w:hint="default" w:ascii="Times New Roman" w:hAnsi="Times New Roman" w:eastAsia="Times New Roman" w:cs="Times New Roman"/>
                  <w:bCs/>
                  <w:w w:val="99"/>
                  <w:szCs w:val="32"/>
                  <w:lang w:val="zh-CN" w:eastAsia="zh-CN" w:bidi="zh-CN"/>
                </w:rPr>
                <w:t xml:space="preserve">3. </w:t>
              </w:r>
              <w:r>
                <w:rPr>
                  <w:highlight w:val="none"/>
                </w:rPr>
                <w:t>投标文件</w:t>
              </w:r>
              <w:r>
                <w:tab/>
              </w:r>
              <w:r>
                <w:fldChar w:fldCharType="begin"/>
              </w:r>
              <w:r>
                <w:instrText xml:space="preserve"> PAGEREF _Toc31673 \h </w:instrText>
              </w:r>
              <w:r>
                <w:fldChar w:fldCharType="separate"/>
              </w:r>
              <w:r>
                <w:t>22</w:t>
              </w:r>
              <w:r>
                <w:fldChar w:fldCharType="end"/>
              </w:r>
              <w:r>
                <w:rPr>
                  <w:highlight w:val="none"/>
                </w:rPr>
                <w:fldChar w:fldCharType="end"/>
              </w:r>
            </w:p>
            <w:p>
              <w:pPr>
                <w:pStyle w:val="13"/>
                <w:tabs>
                  <w:tab w:val="right" w:leader="dot" w:pos="9683"/>
                </w:tabs>
              </w:pPr>
              <w:r>
                <w:rPr>
                  <w:highlight w:val="none"/>
                </w:rPr>
                <w:fldChar w:fldCharType="begin"/>
              </w:r>
              <w:r>
                <w:rPr>
                  <w:highlight w:val="none"/>
                </w:rPr>
                <w:instrText xml:space="preserve"> HYPERLINK \l _Toc28391 </w:instrText>
              </w:r>
              <w:r>
                <w:rPr>
                  <w:highlight w:val="none"/>
                </w:rPr>
                <w:fldChar w:fldCharType="separate"/>
              </w:r>
              <w:r>
                <w:rPr>
                  <w:rFonts w:hint="default" w:ascii="Times New Roman" w:hAnsi="Times New Roman" w:eastAsia="Times New Roman" w:cs="Times New Roman"/>
                  <w:w w:val="100"/>
                  <w:szCs w:val="28"/>
                  <w:lang w:val="zh-CN" w:eastAsia="zh-CN" w:bidi="zh-CN"/>
                </w:rPr>
                <w:t xml:space="preserve">3.1 </w:t>
              </w:r>
              <w:r>
                <w:rPr>
                  <w:spacing w:val="-1"/>
                  <w:highlight w:val="none"/>
                </w:rPr>
                <w:t>投标文件的组成</w:t>
              </w:r>
              <w:r>
                <w:tab/>
              </w:r>
              <w:r>
                <w:fldChar w:fldCharType="begin"/>
              </w:r>
              <w:r>
                <w:instrText xml:space="preserve"> PAGEREF _Toc28391 \h </w:instrText>
              </w:r>
              <w:r>
                <w:fldChar w:fldCharType="separate"/>
              </w:r>
              <w:r>
                <w:t>22</w:t>
              </w:r>
              <w:r>
                <w:fldChar w:fldCharType="end"/>
              </w:r>
              <w:r>
                <w:rPr>
                  <w:highlight w:val="none"/>
                </w:rPr>
                <w:fldChar w:fldCharType="end"/>
              </w:r>
            </w:p>
            <w:p>
              <w:pPr>
                <w:pStyle w:val="13"/>
                <w:tabs>
                  <w:tab w:val="right" w:leader="dot" w:pos="9683"/>
                </w:tabs>
              </w:pPr>
              <w:r>
                <w:rPr>
                  <w:highlight w:val="none"/>
                </w:rPr>
                <w:fldChar w:fldCharType="begin"/>
              </w:r>
              <w:r>
                <w:rPr>
                  <w:highlight w:val="none"/>
                </w:rPr>
                <w:instrText xml:space="preserve"> HYPERLINK \l _Toc20282 </w:instrText>
              </w:r>
              <w:r>
                <w:rPr>
                  <w:highlight w:val="none"/>
                </w:rPr>
                <w:fldChar w:fldCharType="separate"/>
              </w:r>
              <w:r>
                <w:rPr>
                  <w:rFonts w:hint="default" w:ascii="Times New Roman" w:hAnsi="Times New Roman" w:eastAsia="Times New Roman" w:cs="Times New Roman"/>
                  <w:w w:val="100"/>
                  <w:szCs w:val="28"/>
                  <w:lang w:val="zh-CN" w:eastAsia="zh-CN" w:bidi="zh-CN"/>
                </w:rPr>
                <w:t xml:space="preserve">3.2 </w:t>
              </w:r>
              <w:r>
                <w:rPr>
                  <w:highlight w:val="none"/>
                </w:rPr>
                <w:t>投标报价</w:t>
              </w:r>
              <w:r>
                <w:tab/>
              </w:r>
              <w:r>
                <w:fldChar w:fldCharType="begin"/>
              </w:r>
              <w:r>
                <w:instrText xml:space="preserve"> PAGEREF _Toc20282 \h </w:instrText>
              </w:r>
              <w:r>
                <w:fldChar w:fldCharType="separate"/>
              </w:r>
              <w:r>
                <w:t>23</w:t>
              </w:r>
              <w:r>
                <w:fldChar w:fldCharType="end"/>
              </w:r>
              <w:r>
                <w:rPr>
                  <w:highlight w:val="none"/>
                </w:rPr>
                <w:fldChar w:fldCharType="end"/>
              </w:r>
            </w:p>
            <w:p>
              <w:pPr>
                <w:pStyle w:val="13"/>
                <w:tabs>
                  <w:tab w:val="right" w:leader="dot" w:pos="9683"/>
                </w:tabs>
              </w:pPr>
              <w:r>
                <w:rPr>
                  <w:highlight w:val="none"/>
                </w:rPr>
                <w:fldChar w:fldCharType="begin"/>
              </w:r>
              <w:r>
                <w:rPr>
                  <w:highlight w:val="none"/>
                </w:rPr>
                <w:instrText xml:space="preserve"> HYPERLINK \l _Toc24158 </w:instrText>
              </w:r>
              <w:r>
                <w:rPr>
                  <w:highlight w:val="none"/>
                </w:rPr>
                <w:fldChar w:fldCharType="separate"/>
              </w:r>
              <w:r>
                <w:rPr>
                  <w:rFonts w:hint="default" w:ascii="Times New Roman" w:hAnsi="Times New Roman" w:eastAsia="Times New Roman" w:cs="Times New Roman"/>
                  <w:w w:val="100"/>
                  <w:szCs w:val="28"/>
                  <w:lang w:val="zh-CN" w:eastAsia="zh-CN" w:bidi="zh-CN"/>
                </w:rPr>
                <w:t xml:space="preserve">3.3 </w:t>
              </w:r>
              <w:r>
                <w:rPr>
                  <w:highlight w:val="none"/>
                </w:rPr>
                <w:t>投标有效期</w:t>
              </w:r>
              <w:r>
                <w:tab/>
              </w:r>
              <w:r>
                <w:fldChar w:fldCharType="begin"/>
              </w:r>
              <w:r>
                <w:instrText xml:space="preserve"> PAGEREF _Toc24158 \h </w:instrText>
              </w:r>
              <w:r>
                <w:fldChar w:fldCharType="separate"/>
              </w:r>
              <w:r>
                <w:t>23</w:t>
              </w:r>
              <w:r>
                <w:fldChar w:fldCharType="end"/>
              </w:r>
              <w:r>
                <w:rPr>
                  <w:highlight w:val="none"/>
                </w:rPr>
                <w:fldChar w:fldCharType="end"/>
              </w:r>
            </w:p>
            <w:p>
              <w:pPr>
                <w:pStyle w:val="13"/>
                <w:tabs>
                  <w:tab w:val="right" w:leader="dot" w:pos="9683"/>
                </w:tabs>
              </w:pPr>
              <w:r>
                <w:rPr>
                  <w:highlight w:val="none"/>
                </w:rPr>
                <w:fldChar w:fldCharType="begin"/>
              </w:r>
              <w:r>
                <w:rPr>
                  <w:highlight w:val="none"/>
                </w:rPr>
                <w:instrText xml:space="preserve"> HYPERLINK \l _Toc18315 </w:instrText>
              </w:r>
              <w:r>
                <w:rPr>
                  <w:highlight w:val="none"/>
                </w:rPr>
                <w:fldChar w:fldCharType="separate"/>
              </w:r>
              <w:r>
                <w:rPr>
                  <w:rFonts w:hint="default" w:ascii="Times New Roman" w:hAnsi="Times New Roman" w:eastAsia="Times New Roman" w:cs="Times New Roman"/>
                  <w:w w:val="100"/>
                  <w:szCs w:val="28"/>
                  <w:lang w:val="zh-CN" w:eastAsia="zh-CN" w:bidi="zh-CN"/>
                </w:rPr>
                <w:t xml:space="preserve">3.4 </w:t>
              </w:r>
              <w:r>
                <w:rPr>
                  <w:highlight w:val="none"/>
                </w:rPr>
                <w:t>投标保证金</w:t>
              </w:r>
              <w:r>
                <w:tab/>
              </w:r>
              <w:r>
                <w:fldChar w:fldCharType="begin"/>
              </w:r>
              <w:r>
                <w:instrText xml:space="preserve"> PAGEREF _Toc18315 \h </w:instrText>
              </w:r>
              <w:r>
                <w:fldChar w:fldCharType="separate"/>
              </w:r>
              <w:r>
                <w:t>23</w:t>
              </w:r>
              <w:r>
                <w:fldChar w:fldCharType="end"/>
              </w:r>
              <w:r>
                <w:rPr>
                  <w:highlight w:val="none"/>
                </w:rPr>
                <w:fldChar w:fldCharType="end"/>
              </w:r>
            </w:p>
            <w:p>
              <w:pPr>
                <w:pStyle w:val="13"/>
                <w:tabs>
                  <w:tab w:val="right" w:leader="dot" w:pos="9683"/>
                </w:tabs>
              </w:pPr>
              <w:r>
                <w:rPr>
                  <w:highlight w:val="none"/>
                </w:rPr>
                <w:fldChar w:fldCharType="begin"/>
              </w:r>
              <w:r>
                <w:rPr>
                  <w:highlight w:val="none"/>
                </w:rPr>
                <w:instrText xml:space="preserve"> HYPERLINK \l _Toc4968 </w:instrText>
              </w:r>
              <w:r>
                <w:rPr>
                  <w:highlight w:val="none"/>
                </w:rPr>
                <w:fldChar w:fldCharType="separate"/>
              </w:r>
              <w:r>
                <w:rPr>
                  <w:rFonts w:hint="default" w:ascii="Times New Roman" w:hAnsi="Times New Roman" w:eastAsia="Times New Roman" w:cs="Times New Roman"/>
                  <w:w w:val="100"/>
                  <w:szCs w:val="28"/>
                  <w:lang w:val="zh-CN" w:eastAsia="zh-CN" w:bidi="zh-CN"/>
                </w:rPr>
                <w:t xml:space="preserve">3.5 </w:t>
              </w:r>
              <w:r>
                <w:rPr>
                  <w:spacing w:val="-1"/>
                  <w:highlight w:val="none"/>
                </w:rPr>
                <w:t>资格审查资料</w:t>
              </w:r>
              <w:r>
                <w:tab/>
              </w:r>
              <w:r>
                <w:fldChar w:fldCharType="begin"/>
              </w:r>
              <w:r>
                <w:instrText xml:space="preserve"> PAGEREF _Toc4968 \h </w:instrText>
              </w:r>
              <w:r>
                <w:fldChar w:fldCharType="separate"/>
              </w:r>
              <w:r>
                <w:t>24</w:t>
              </w:r>
              <w:r>
                <w:fldChar w:fldCharType="end"/>
              </w:r>
              <w:r>
                <w:rPr>
                  <w:highlight w:val="none"/>
                </w:rPr>
                <w:fldChar w:fldCharType="end"/>
              </w:r>
            </w:p>
            <w:p>
              <w:pPr>
                <w:pStyle w:val="13"/>
                <w:tabs>
                  <w:tab w:val="right" w:leader="dot" w:pos="9683"/>
                </w:tabs>
              </w:pPr>
              <w:r>
                <w:rPr>
                  <w:highlight w:val="none"/>
                </w:rPr>
                <w:fldChar w:fldCharType="begin"/>
              </w:r>
              <w:r>
                <w:rPr>
                  <w:highlight w:val="none"/>
                </w:rPr>
                <w:instrText xml:space="preserve"> HYPERLINK \l _Toc30740 </w:instrText>
              </w:r>
              <w:r>
                <w:rPr>
                  <w:highlight w:val="none"/>
                </w:rPr>
                <w:fldChar w:fldCharType="separate"/>
              </w:r>
              <w:r>
                <w:rPr>
                  <w:rFonts w:hint="eastAsia"/>
                  <w:spacing w:val="-1"/>
                  <w:highlight w:val="none"/>
                  <w:lang w:val="en-US"/>
                </w:rPr>
                <w:t>3.6</w:t>
              </w:r>
              <w:r>
                <w:rPr>
                  <w:spacing w:val="-1"/>
                  <w:highlight w:val="none"/>
                </w:rPr>
                <w:t>投标文件的编制</w:t>
              </w:r>
              <w:r>
                <w:tab/>
              </w:r>
              <w:r>
                <w:fldChar w:fldCharType="begin"/>
              </w:r>
              <w:r>
                <w:instrText xml:space="preserve"> PAGEREF _Toc30740 \h </w:instrText>
              </w:r>
              <w:r>
                <w:fldChar w:fldCharType="separate"/>
              </w:r>
              <w:r>
                <w:t>25</w:t>
              </w:r>
              <w:r>
                <w:fldChar w:fldCharType="end"/>
              </w:r>
              <w:r>
                <w:rPr>
                  <w:highlight w:val="none"/>
                </w:rPr>
                <w:fldChar w:fldCharType="end"/>
              </w:r>
            </w:p>
            <w:p>
              <w:pPr>
                <w:pStyle w:val="18"/>
                <w:tabs>
                  <w:tab w:val="right" w:leader="dot" w:pos="9683"/>
                </w:tabs>
              </w:pPr>
              <w:r>
                <w:rPr>
                  <w:highlight w:val="none"/>
                </w:rPr>
                <w:fldChar w:fldCharType="begin"/>
              </w:r>
              <w:r>
                <w:rPr>
                  <w:highlight w:val="none"/>
                </w:rPr>
                <w:instrText xml:space="preserve"> HYPERLINK \l _Toc5627 </w:instrText>
              </w:r>
              <w:r>
                <w:rPr>
                  <w:highlight w:val="none"/>
                </w:rPr>
                <w:fldChar w:fldCharType="separate"/>
              </w:r>
              <w:r>
                <w:rPr>
                  <w:rFonts w:hint="default" w:ascii="Times New Roman" w:hAnsi="Times New Roman" w:eastAsia="Times New Roman" w:cs="Times New Roman"/>
                  <w:bCs/>
                  <w:w w:val="99"/>
                  <w:szCs w:val="32"/>
                  <w:lang w:val="zh-CN" w:eastAsia="zh-CN" w:bidi="zh-CN"/>
                </w:rPr>
                <w:t xml:space="preserve">4. </w:t>
              </w:r>
              <w:r>
                <w:rPr>
                  <w:highlight w:val="none"/>
                </w:rPr>
                <w:t>投标</w:t>
              </w:r>
              <w:r>
                <w:tab/>
              </w:r>
              <w:r>
                <w:fldChar w:fldCharType="begin"/>
              </w:r>
              <w:r>
                <w:instrText xml:space="preserve"> PAGEREF _Toc5627 \h </w:instrText>
              </w:r>
              <w:r>
                <w:fldChar w:fldCharType="separate"/>
              </w:r>
              <w:r>
                <w:t>25</w:t>
              </w:r>
              <w:r>
                <w:fldChar w:fldCharType="end"/>
              </w:r>
              <w:r>
                <w:rPr>
                  <w:highlight w:val="none"/>
                </w:rPr>
                <w:fldChar w:fldCharType="end"/>
              </w:r>
            </w:p>
            <w:p>
              <w:pPr>
                <w:pStyle w:val="13"/>
                <w:tabs>
                  <w:tab w:val="right" w:leader="dot" w:pos="9683"/>
                </w:tabs>
              </w:pPr>
              <w:r>
                <w:rPr>
                  <w:highlight w:val="none"/>
                </w:rPr>
                <w:fldChar w:fldCharType="begin"/>
              </w:r>
              <w:r>
                <w:rPr>
                  <w:highlight w:val="none"/>
                </w:rPr>
                <w:instrText xml:space="preserve"> HYPERLINK \l _Toc10866 </w:instrText>
              </w:r>
              <w:r>
                <w:rPr>
                  <w:highlight w:val="none"/>
                </w:rPr>
                <w:fldChar w:fldCharType="separate"/>
              </w:r>
              <w:r>
                <w:rPr>
                  <w:rFonts w:hint="default" w:ascii="Times New Roman" w:hAnsi="Times New Roman" w:eastAsia="Times New Roman" w:cs="Times New Roman"/>
                  <w:w w:val="100"/>
                  <w:szCs w:val="28"/>
                  <w:lang w:val="zh-CN" w:eastAsia="zh-CN" w:bidi="zh-CN"/>
                </w:rPr>
                <w:t xml:space="preserve">4.1 </w:t>
              </w:r>
              <w:r>
                <w:rPr>
                  <w:spacing w:val="-2"/>
                  <w:highlight w:val="none"/>
                </w:rPr>
                <w:t>投标文件的密封和标记</w:t>
              </w:r>
              <w:r>
                <w:tab/>
              </w:r>
              <w:r>
                <w:fldChar w:fldCharType="begin"/>
              </w:r>
              <w:r>
                <w:instrText xml:space="preserve"> PAGEREF _Toc10866 \h </w:instrText>
              </w:r>
              <w:r>
                <w:fldChar w:fldCharType="separate"/>
              </w:r>
              <w:r>
                <w:t>25</w:t>
              </w:r>
              <w:r>
                <w:fldChar w:fldCharType="end"/>
              </w:r>
              <w:r>
                <w:rPr>
                  <w:highlight w:val="none"/>
                </w:rPr>
                <w:fldChar w:fldCharType="end"/>
              </w:r>
            </w:p>
            <w:p>
              <w:pPr>
                <w:pStyle w:val="13"/>
                <w:tabs>
                  <w:tab w:val="right" w:leader="dot" w:pos="9683"/>
                </w:tabs>
              </w:pPr>
              <w:r>
                <w:rPr>
                  <w:highlight w:val="none"/>
                </w:rPr>
                <w:fldChar w:fldCharType="begin"/>
              </w:r>
              <w:r>
                <w:rPr>
                  <w:highlight w:val="none"/>
                </w:rPr>
                <w:instrText xml:space="preserve"> HYPERLINK \l _Toc27830 </w:instrText>
              </w:r>
              <w:r>
                <w:rPr>
                  <w:highlight w:val="none"/>
                </w:rPr>
                <w:fldChar w:fldCharType="separate"/>
              </w:r>
              <w:r>
                <w:rPr>
                  <w:rFonts w:hint="eastAsia"/>
                  <w:spacing w:val="-1"/>
                  <w:highlight w:val="none"/>
                  <w:lang w:val="en-US"/>
                </w:rPr>
                <w:t>4.2</w:t>
              </w:r>
              <w:r>
                <w:rPr>
                  <w:spacing w:val="-1"/>
                  <w:highlight w:val="none"/>
                </w:rPr>
                <w:t>投标文件的递交</w:t>
              </w:r>
              <w:r>
                <w:tab/>
              </w:r>
              <w:r>
                <w:fldChar w:fldCharType="begin"/>
              </w:r>
              <w:r>
                <w:instrText xml:space="preserve"> PAGEREF _Toc27830 \h </w:instrText>
              </w:r>
              <w:r>
                <w:fldChar w:fldCharType="separate"/>
              </w:r>
              <w:r>
                <w:t>25</w:t>
              </w:r>
              <w:r>
                <w:fldChar w:fldCharType="end"/>
              </w:r>
              <w:r>
                <w:rPr>
                  <w:highlight w:val="none"/>
                </w:rPr>
                <w:fldChar w:fldCharType="end"/>
              </w:r>
            </w:p>
            <w:p>
              <w:pPr>
                <w:pStyle w:val="13"/>
                <w:tabs>
                  <w:tab w:val="right" w:leader="dot" w:pos="9683"/>
                </w:tabs>
              </w:pPr>
              <w:r>
                <w:rPr>
                  <w:highlight w:val="none"/>
                </w:rPr>
                <w:fldChar w:fldCharType="begin"/>
              </w:r>
              <w:r>
                <w:rPr>
                  <w:highlight w:val="none"/>
                </w:rPr>
                <w:instrText xml:space="preserve"> HYPERLINK \l _Toc2142 </w:instrText>
              </w:r>
              <w:r>
                <w:rPr>
                  <w:highlight w:val="none"/>
                </w:rPr>
                <w:fldChar w:fldCharType="separate"/>
              </w:r>
              <w:r>
                <w:rPr>
                  <w:rFonts w:hint="eastAsia"/>
                  <w:spacing w:val="-1"/>
                  <w:highlight w:val="none"/>
                  <w:lang w:val="en-US"/>
                </w:rPr>
                <w:t>4.3投标文件的修改与撤回</w:t>
              </w:r>
              <w:r>
                <w:tab/>
              </w:r>
              <w:r>
                <w:fldChar w:fldCharType="begin"/>
              </w:r>
              <w:r>
                <w:instrText xml:space="preserve"> PAGEREF _Toc2142 \h </w:instrText>
              </w:r>
              <w:r>
                <w:fldChar w:fldCharType="separate"/>
              </w:r>
              <w:r>
                <w:t>26</w:t>
              </w:r>
              <w:r>
                <w:fldChar w:fldCharType="end"/>
              </w:r>
              <w:r>
                <w:rPr>
                  <w:highlight w:val="none"/>
                </w:rPr>
                <w:fldChar w:fldCharType="end"/>
              </w:r>
            </w:p>
            <w:p>
              <w:pPr>
                <w:pStyle w:val="18"/>
                <w:tabs>
                  <w:tab w:val="right" w:leader="dot" w:pos="9683"/>
                </w:tabs>
              </w:pPr>
              <w:r>
                <w:rPr>
                  <w:highlight w:val="none"/>
                </w:rPr>
                <w:fldChar w:fldCharType="begin"/>
              </w:r>
              <w:r>
                <w:rPr>
                  <w:highlight w:val="none"/>
                </w:rPr>
                <w:instrText xml:space="preserve"> HYPERLINK \l _Toc10685 </w:instrText>
              </w:r>
              <w:r>
                <w:rPr>
                  <w:highlight w:val="none"/>
                </w:rPr>
                <w:fldChar w:fldCharType="separate"/>
              </w:r>
              <w:r>
                <w:rPr>
                  <w:rFonts w:hint="default" w:ascii="Times New Roman" w:hAnsi="Times New Roman" w:eastAsia="Times New Roman" w:cs="Times New Roman"/>
                  <w:bCs/>
                  <w:w w:val="99"/>
                  <w:szCs w:val="32"/>
                  <w:lang w:val="zh-CN" w:eastAsia="zh-CN" w:bidi="zh-CN"/>
                </w:rPr>
                <w:t xml:space="preserve">5. </w:t>
              </w:r>
              <w:r>
                <w:rPr>
                  <w:highlight w:val="none"/>
                </w:rPr>
                <w:t>开标</w:t>
              </w:r>
              <w:r>
                <w:tab/>
              </w:r>
              <w:r>
                <w:fldChar w:fldCharType="begin"/>
              </w:r>
              <w:r>
                <w:instrText xml:space="preserve"> PAGEREF _Toc10685 \h </w:instrText>
              </w:r>
              <w:r>
                <w:fldChar w:fldCharType="separate"/>
              </w:r>
              <w:r>
                <w:t>26</w:t>
              </w:r>
              <w:r>
                <w:fldChar w:fldCharType="end"/>
              </w:r>
              <w:r>
                <w:rPr>
                  <w:highlight w:val="none"/>
                </w:rPr>
                <w:fldChar w:fldCharType="end"/>
              </w:r>
            </w:p>
            <w:p>
              <w:pPr>
                <w:pStyle w:val="13"/>
                <w:tabs>
                  <w:tab w:val="right" w:leader="dot" w:pos="9683"/>
                </w:tabs>
              </w:pPr>
              <w:r>
                <w:rPr>
                  <w:highlight w:val="none"/>
                </w:rPr>
                <w:fldChar w:fldCharType="begin"/>
              </w:r>
              <w:r>
                <w:rPr>
                  <w:highlight w:val="none"/>
                </w:rPr>
                <w:instrText xml:space="preserve"> HYPERLINK \l _Toc21900 </w:instrText>
              </w:r>
              <w:r>
                <w:rPr>
                  <w:highlight w:val="none"/>
                </w:rPr>
                <w:fldChar w:fldCharType="separate"/>
              </w:r>
              <w:r>
                <w:rPr>
                  <w:rFonts w:hint="default" w:ascii="Times New Roman" w:hAnsi="Times New Roman" w:eastAsia="Times New Roman" w:cs="Times New Roman"/>
                  <w:w w:val="100"/>
                  <w:szCs w:val="28"/>
                  <w:lang w:val="zh-CN" w:eastAsia="zh-CN" w:bidi="zh-CN"/>
                </w:rPr>
                <w:t xml:space="preserve">5.1 </w:t>
              </w:r>
              <w:r>
                <w:rPr>
                  <w:spacing w:val="-1"/>
                  <w:highlight w:val="none"/>
                </w:rPr>
                <w:t>开标时间和地点</w:t>
              </w:r>
              <w:r>
                <w:tab/>
              </w:r>
              <w:r>
                <w:fldChar w:fldCharType="begin"/>
              </w:r>
              <w:r>
                <w:instrText xml:space="preserve"> PAGEREF _Toc21900 \h </w:instrText>
              </w:r>
              <w:r>
                <w:fldChar w:fldCharType="separate"/>
              </w:r>
              <w:r>
                <w:t>26</w:t>
              </w:r>
              <w:r>
                <w:fldChar w:fldCharType="end"/>
              </w:r>
              <w:r>
                <w:rPr>
                  <w:highlight w:val="none"/>
                </w:rPr>
                <w:fldChar w:fldCharType="end"/>
              </w:r>
            </w:p>
            <w:p>
              <w:pPr>
                <w:pStyle w:val="13"/>
                <w:tabs>
                  <w:tab w:val="right" w:leader="dot" w:pos="9683"/>
                </w:tabs>
              </w:pPr>
              <w:r>
                <w:rPr>
                  <w:highlight w:val="none"/>
                </w:rPr>
                <w:fldChar w:fldCharType="begin"/>
              </w:r>
              <w:r>
                <w:rPr>
                  <w:highlight w:val="none"/>
                </w:rPr>
                <w:instrText xml:space="preserve"> HYPERLINK \l _Toc7049 </w:instrText>
              </w:r>
              <w:r>
                <w:rPr>
                  <w:highlight w:val="none"/>
                </w:rPr>
                <w:fldChar w:fldCharType="separate"/>
              </w:r>
              <w:r>
                <w:rPr>
                  <w:rFonts w:hint="eastAsia"/>
                  <w:highlight w:val="none"/>
                  <w:lang w:val="en-US"/>
                </w:rPr>
                <w:t>5.2</w:t>
              </w:r>
              <w:r>
                <w:rPr>
                  <w:highlight w:val="none"/>
                </w:rPr>
                <w:t>开标程序</w:t>
              </w:r>
              <w:r>
                <w:tab/>
              </w:r>
              <w:r>
                <w:fldChar w:fldCharType="begin"/>
              </w:r>
              <w:r>
                <w:instrText xml:space="preserve"> PAGEREF _Toc7049 \h </w:instrText>
              </w:r>
              <w:r>
                <w:fldChar w:fldCharType="separate"/>
              </w:r>
              <w:r>
                <w:t>26</w:t>
              </w:r>
              <w:r>
                <w:fldChar w:fldCharType="end"/>
              </w:r>
              <w:r>
                <w:rPr>
                  <w:highlight w:val="none"/>
                </w:rPr>
                <w:fldChar w:fldCharType="end"/>
              </w:r>
            </w:p>
            <w:p>
              <w:pPr>
                <w:pStyle w:val="13"/>
                <w:tabs>
                  <w:tab w:val="right" w:leader="dot" w:pos="9683"/>
                </w:tabs>
              </w:pPr>
              <w:r>
                <w:rPr>
                  <w:highlight w:val="none"/>
                </w:rPr>
                <w:fldChar w:fldCharType="begin"/>
              </w:r>
              <w:r>
                <w:rPr>
                  <w:highlight w:val="none"/>
                </w:rPr>
                <w:instrText xml:space="preserve"> HYPERLINK \l _Toc16836 </w:instrText>
              </w:r>
              <w:r>
                <w:rPr>
                  <w:highlight w:val="none"/>
                </w:rPr>
                <w:fldChar w:fldCharType="separate"/>
              </w:r>
              <w:r>
                <w:rPr>
                  <w:rFonts w:hint="eastAsia"/>
                  <w:highlight w:val="none"/>
                  <w:lang w:val="en-US"/>
                </w:rPr>
                <w:t>5.3</w:t>
              </w:r>
              <w:r>
                <w:rPr>
                  <w:highlight w:val="none"/>
                </w:rPr>
                <w:t>开标异议</w:t>
              </w:r>
              <w:r>
                <w:tab/>
              </w:r>
              <w:r>
                <w:fldChar w:fldCharType="begin"/>
              </w:r>
              <w:r>
                <w:instrText xml:space="preserve"> PAGEREF _Toc16836 \h </w:instrText>
              </w:r>
              <w:r>
                <w:fldChar w:fldCharType="separate"/>
              </w:r>
              <w:r>
                <w:t>27</w:t>
              </w:r>
              <w:r>
                <w:fldChar w:fldCharType="end"/>
              </w:r>
              <w:r>
                <w:rPr>
                  <w:highlight w:val="none"/>
                </w:rPr>
                <w:fldChar w:fldCharType="end"/>
              </w:r>
            </w:p>
            <w:p>
              <w:pPr>
                <w:pStyle w:val="18"/>
                <w:tabs>
                  <w:tab w:val="right" w:leader="dot" w:pos="9683"/>
                </w:tabs>
              </w:pPr>
              <w:r>
                <w:rPr>
                  <w:highlight w:val="none"/>
                </w:rPr>
                <w:fldChar w:fldCharType="begin"/>
              </w:r>
              <w:r>
                <w:rPr>
                  <w:highlight w:val="none"/>
                </w:rPr>
                <w:instrText xml:space="preserve"> HYPERLINK \l _Toc10544 </w:instrText>
              </w:r>
              <w:r>
                <w:rPr>
                  <w:highlight w:val="none"/>
                </w:rPr>
                <w:fldChar w:fldCharType="separate"/>
              </w:r>
              <w:r>
                <w:rPr>
                  <w:rFonts w:hint="default" w:ascii="Times New Roman" w:hAnsi="Times New Roman" w:eastAsia="Times New Roman" w:cs="Times New Roman"/>
                  <w:bCs/>
                  <w:w w:val="99"/>
                  <w:szCs w:val="32"/>
                  <w:lang w:val="zh-CN" w:eastAsia="zh-CN" w:bidi="zh-CN"/>
                </w:rPr>
                <w:t xml:space="preserve">6. </w:t>
              </w:r>
              <w:r>
                <w:rPr>
                  <w:highlight w:val="none"/>
                </w:rPr>
                <w:t>评标</w:t>
              </w:r>
              <w:r>
                <w:tab/>
              </w:r>
              <w:r>
                <w:fldChar w:fldCharType="begin"/>
              </w:r>
              <w:r>
                <w:instrText xml:space="preserve"> PAGEREF _Toc10544 \h </w:instrText>
              </w:r>
              <w:r>
                <w:fldChar w:fldCharType="separate"/>
              </w:r>
              <w:r>
                <w:t>27</w:t>
              </w:r>
              <w:r>
                <w:fldChar w:fldCharType="end"/>
              </w:r>
              <w:r>
                <w:rPr>
                  <w:highlight w:val="none"/>
                </w:rPr>
                <w:fldChar w:fldCharType="end"/>
              </w:r>
            </w:p>
            <w:p>
              <w:pPr>
                <w:pStyle w:val="13"/>
                <w:tabs>
                  <w:tab w:val="right" w:leader="dot" w:pos="9683"/>
                </w:tabs>
              </w:pPr>
              <w:r>
                <w:rPr>
                  <w:highlight w:val="none"/>
                </w:rPr>
                <w:fldChar w:fldCharType="begin"/>
              </w:r>
              <w:r>
                <w:rPr>
                  <w:highlight w:val="none"/>
                </w:rPr>
                <w:instrText xml:space="preserve"> HYPERLINK \l _Toc23684 </w:instrText>
              </w:r>
              <w:r>
                <w:rPr>
                  <w:highlight w:val="none"/>
                </w:rPr>
                <w:fldChar w:fldCharType="separate"/>
              </w:r>
              <w:r>
                <w:rPr>
                  <w:rFonts w:hint="default" w:ascii="Times New Roman" w:hAnsi="Times New Roman" w:eastAsia="Times New Roman" w:cs="Times New Roman"/>
                  <w:w w:val="100"/>
                  <w:szCs w:val="28"/>
                  <w:lang w:val="zh-CN" w:eastAsia="zh-CN" w:bidi="zh-CN"/>
                </w:rPr>
                <w:t xml:space="preserve">6.1 </w:t>
              </w:r>
              <w:r>
                <w:rPr>
                  <w:highlight w:val="none"/>
                </w:rPr>
                <w:t>评标委员会</w:t>
              </w:r>
              <w:r>
                <w:tab/>
              </w:r>
              <w:r>
                <w:fldChar w:fldCharType="begin"/>
              </w:r>
              <w:r>
                <w:instrText xml:space="preserve"> PAGEREF _Toc23684 \h </w:instrText>
              </w:r>
              <w:r>
                <w:fldChar w:fldCharType="separate"/>
              </w:r>
              <w:r>
                <w:t>27</w:t>
              </w:r>
              <w:r>
                <w:fldChar w:fldCharType="end"/>
              </w:r>
              <w:r>
                <w:rPr>
                  <w:highlight w:val="none"/>
                </w:rPr>
                <w:fldChar w:fldCharType="end"/>
              </w:r>
            </w:p>
            <w:p>
              <w:pPr>
                <w:pStyle w:val="13"/>
                <w:tabs>
                  <w:tab w:val="right" w:leader="dot" w:pos="9683"/>
                </w:tabs>
              </w:pPr>
              <w:r>
                <w:rPr>
                  <w:highlight w:val="none"/>
                </w:rPr>
                <w:fldChar w:fldCharType="begin"/>
              </w:r>
              <w:r>
                <w:rPr>
                  <w:highlight w:val="none"/>
                </w:rPr>
                <w:instrText xml:space="preserve"> HYPERLINK \l _Toc24047 </w:instrText>
              </w:r>
              <w:r>
                <w:rPr>
                  <w:highlight w:val="none"/>
                </w:rPr>
                <w:fldChar w:fldCharType="separate"/>
              </w:r>
              <w:r>
                <w:rPr>
                  <w:rFonts w:hint="default" w:ascii="Times New Roman" w:hAnsi="Times New Roman" w:eastAsia="Times New Roman" w:cs="Times New Roman"/>
                  <w:w w:val="100"/>
                  <w:szCs w:val="28"/>
                  <w:lang w:val="zh-CN" w:eastAsia="zh-CN" w:bidi="zh-CN"/>
                </w:rPr>
                <w:t xml:space="preserve">6.2 </w:t>
              </w:r>
              <w:r>
                <w:rPr>
                  <w:highlight w:val="none"/>
                </w:rPr>
                <w:t>评标原则</w:t>
              </w:r>
              <w:r>
                <w:tab/>
              </w:r>
              <w:r>
                <w:fldChar w:fldCharType="begin"/>
              </w:r>
              <w:r>
                <w:instrText xml:space="preserve"> PAGEREF _Toc24047 \h </w:instrText>
              </w:r>
              <w:r>
                <w:fldChar w:fldCharType="separate"/>
              </w:r>
              <w:r>
                <w:t>27</w:t>
              </w:r>
              <w:r>
                <w:fldChar w:fldCharType="end"/>
              </w:r>
              <w:r>
                <w:rPr>
                  <w:highlight w:val="none"/>
                </w:rPr>
                <w:fldChar w:fldCharType="end"/>
              </w:r>
            </w:p>
            <w:p>
              <w:pPr>
                <w:pStyle w:val="13"/>
                <w:tabs>
                  <w:tab w:val="right" w:leader="dot" w:pos="9683"/>
                </w:tabs>
              </w:pPr>
              <w:r>
                <w:rPr>
                  <w:highlight w:val="none"/>
                </w:rPr>
                <w:fldChar w:fldCharType="begin"/>
              </w:r>
              <w:r>
                <w:rPr>
                  <w:highlight w:val="none"/>
                </w:rPr>
                <w:instrText xml:space="preserve"> HYPERLINK \l _Toc16105 </w:instrText>
              </w:r>
              <w:r>
                <w:rPr>
                  <w:highlight w:val="none"/>
                </w:rPr>
                <w:fldChar w:fldCharType="separate"/>
              </w:r>
              <w:r>
                <w:rPr>
                  <w:rFonts w:hint="eastAsia"/>
                  <w:bCs/>
                  <w:highlight w:val="none"/>
                  <w:lang w:val="en-US"/>
                </w:rPr>
                <w:t>6.3</w:t>
              </w:r>
              <w:r>
                <w:rPr>
                  <w:rFonts w:hint="eastAsia"/>
                  <w:highlight w:val="none"/>
                  <w:lang w:val="en-US"/>
                </w:rPr>
                <w:t xml:space="preserve"> </w:t>
              </w:r>
              <w:r>
                <w:rPr>
                  <w:highlight w:val="none"/>
                </w:rPr>
                <w:t>评标</w:t>
              </w:r>
              <w:r>
                <w:tab/>
              </w:r>
              <w:r>
                <w:fldChar w:fldCharType="begin"/>
              </w:r>
              <w:r>
                <w:instrText xml:space="preserve"> PAGEREF _Toc16105 \h </w:instrText>
              </w:r>
              <w:r>
                <w:fldChar w:fldCharType="separate"/>
              </w:r>
              <w:r>
                <w:t>27</w:t>
              </w:r>
              <w:r>
                <w:fldChar w:fldCharType="end"/>
              </w:r>
              <w:r>
                <w:rPr>
                  <w:highlight w:val="none"/>
                </w:rPr>
                <w:fldChar w:fldCharType="end"/>
              </w:r>
            </w:p>
            <w:p>
              <w:pPr>
                <w:pStyle w:val="18"/>
                <w:tabs>
                  <w:tab w:val="right" w:leader="dot" w:pos="9683"/>
                </w:tabs>
              </w:pPr>
              <w:r>
                <w:rPr>
                  <w:highlight w:val="none"/>
                </w:rPr>
                <w:fldChar w:fldCharType="begin"/>
              </w:r>
              <w:r>
                <w:rPr>
                  <w:highlight w:val="none"/>
                </w:rPr>
                <w:instrText xml:space="preserve"> HYPERLINK \l _Toc1531 </w:instrText>
              </w:r>
              <w:r>
                <w:rPr>
                  <w:highlight w:val="none"/>
                </w:rPr>
                <w:fldChar w:fldCharType="separate"/>
              </w:r>
              <w:r>
                <w:rPr>
                  <w:rFonts w:hint="default" w:ascii="Times New Roman" w:hAnsi="Times New Roman" w:eastAsia="Times New Roman" w:cs="Times New Roman"/>
                  <w:bCs/>
                  <w:w w:val="99"/>
                  <w:szCs w:val="32"/>
                  <w:lang w:val="zh-CN" w:eastAsia="zh-CN" w:bidi="zh-CN"/>
                </w:rPr>
                <w:t xml:space="preserve">7. </w:t>
              </w:r>
              <w:r>
                <w:rPr>
                  <w:highlight w:val="none"/>
                </w:rPr>
                <w:t>合同授予</w:t>
              </w:r>
              <w:r>
                <w:tab/>
              </w:r>
              <w:r>
                <w:fldChar w:fldCharType="begin"/>
              </w:r>
              <w:r>
                <w:instrText xml:space="preserve"> PAGEREF _Toc1531 \h </w:instrText>
              </w:r>
              <w:r>
                <w:fldChar w:fldCharType="separate"/>
              </w:r>
              <w:r>
                <w:t>28</w:t>
              </w:r>
              <w:r>
                <w:fldChar w:fldCharType="end"/>
              </w:r>
              <w:r>
                <w:rPr>
                  <w:highlight w:val="none"/>
                </w:rPr>
                <w:fldChar w:fldCharType="end"/>
              </w:r>
            </w:p>
            <w:p>
              <w:pPr>
                <w:pStyle w:val="13"/>
                <w:tabs>
                  <w:tab w:val="right" w:leader="dot" w:pos="9683"/>
                </w:tabs>
              </w:pPr>
              <w:r>
                <w:rPr>
                  <w:highlight w:val="none"/>
                </w:rPr>
                <w:fldChar w:fldCharType="begin"/>
              </w:r>
              <w:r>
                <w:rPr>
                  <w:highlight w:val="none"/>
                </w:rPr>
                <w:instrText xml:space="preserve"> HYPERLINK \l _Toc26038 </w:instrText>
              </w:r>
              <w:r>
                <w:rPr>
                  <w:highlight w:val="none"/>
                </w:rPr>
                <w:fldChar w:fldCharType="separate"/>
              </w:r>
              <w:r>
                <w:rPr>
                  <w:rFonts w:hint="default" w:ascii="Times New Roman" w:hAnsi="Times New Roman" w:eastAsia="Times New Roman" w:cs="Times New Roman"/>
                  <w:w w:val="100"/>
                  <w:szCs w:val="28"/>
                  <w:lang w:val="zh-CN" w:eastAsia="zh-CN" w:bidi="zh-CN"/>
                </w:rPr>
                <w:t xml:space="preserve">7.1 </w:t>
              </w:r>
              <w:r>
                <w:rPr>
                  <w:spacing w:val="-1"/>
                  <w:highlight w:val="none"/>
                </w:rPr>
                <w:t>中标候选人公示</w:t>
              </w:r>
              <w:r>
                <w:tab/>
              </w:r>
              <w:r>
                <w:fldChar w:fldCharType="begin"/>
              </w:r>
              <w:r>
                <w:instrText xml:space="preserve"> PAGEREF _Toc26038 \h </w:instrText>
              </w:r>
              <w:r>
                <w:fldChar w:fldCharType="separate"/>
              </w:r>
              <w:r>
                <w:t>28</w:t>
              </w:r>
              <w:r>
                <w:fldChar w:fldCharType="end"/>
              </w:r>
              <w:r>
                <w:rPr>
                  <w:highlight w:val="none"/>
                </w:rPr>
                <w:fldChar w:fldCharType="end"/>
              </w:r>
            </w:p>
            <w:p>
              <w:pPr>
                <w:pStyle w:val="13"/>
                <w:tabs>
                  <w:tab w:val="right" w:leader="dot" w:pos="9683"/>
                </w:tabs>
              </w:pPr>
              <w:r>
                <w:rPr>
                  <w:highlight w:val="none"/>
                </w:rPr>
                <w:fldChar w:fldCharType="begin"/>
              </w:r>
              <w:r>
                <w:rPr>
                  <w:highlight w:val="none"/>
                </w:rPr>
                <w:instrText xml:space="preserve"> HYPERLINK \l _Toc3811 </w:instrText>
              </w:r>
              <w:r>
                <w:rPr>
                  <w:highlight w:val="none"/>
                </w:rPr>
                <w:fldChar w:fldCharType="separate"/>
              </w:r>
              <w:r>
                <w:rPr>
                  <w:rFonts w:hint="default" w:ascii="Times New Roman" w:hAnsi="Times New Roman" w:eastAsia="Times New Roman" w:cs="Times New Roman"/>
                  <w:w w:val="100"/>
                  <w:szCs w:val="28"/>
                  <w:lang w:val="zh-CN" w:eastAsia="zh-CN" w:bidi="zh-CN"/>
                </w:rPr>
                <w:t xml:space="preserve">7.2 </w:t>
              </w:r>
              <w:r>
                <w:rPr>
                  <w:spacing w:val="-1"/>
                  <w:highlight w:val="none"/>
                </w:rPr>
                <w:t>评标结果异议</w:t>
              </w:r>
              <w:r>
                <w:tab/>
              </w:r>
              <w:r>
                <w:fldChar w:fldCharType="begin"/>
              </w:r>
              <w:r>
                <w:instrText xml:space="preserve"> PAGEREF _Toc3811 \h </w:instrText>
              </w:r>
              <w:r>
                <w:fldChar w:fldCharType="separate"/>
              </w:r>
              <w:r>
                <w:t>28</w:t>
              </w:r>
              <w:r>
                <w:fldChar w:fldCharType="end"/>
              </w:r>
              <w:r>
                <w:rPr>
                  <w:highlight w:val="none"/>
                </w:rPr>
                <w:fldChar w:fldCharType="end"/>
              </w:r>
            </w:p>
            <w:p>
              <w:pPr>
                <w:pStyle w:val="13"/>
                <w:tabs>
                  <w:tab w:val="right" w:leader="dot" w:pos="9683"/>
                </w:tabs>
              </w:pPr>
              <w:r>
                <w:rPr>
                  <w:highlight w:val="none"/>
                </w:rPr>
                <w:fldChar w:fldCharType="begin"/>
              </w:r>
              <w:r>
                <w:rPr>
                  <w:highlight w:val="none"/>
                </w:rPr>
                <w:instrText xml:space="preserve"> HYPERLINK \l _Toc17580 </w:instrText>
              </w:r>
              <w:r>
                <w:rPr>
                  <w:highlight w:val="none"/>
                </w:rPr>
                <w:fldChar w:fldCharType="separate"/>
              </w:r>
              <w:r>
                <w:rPr>
                  <w:rFonts w:hint="default" w:ascii="Times New Roman" w:hAnsi="Times New Roman" w:eastAsia="Times New Roman" w:cs="Times New Roman"/>
                  <w:w w:val="100"/>
                  <w:szCs w:val="28"/>
                  <w:lang w:val="zh-CN" w:eastAsia="zh-CN" w:bidi="zh-CN"/>
                </w:rPr>
                <w:t xml:space="preserve">7.3 </w:t>
              </w:r>
              <w:r>
                <w:rPr>
                  <w:spacing w:val="-2"/>
                  <w:highlight w:val="none"/>
                </w:rPr>
                <w:t>中标候选人履约能力审查</w:t>
              </w:r>
              <w:r>
                <w:tab/>
              </w:r>
              <w:r>
                <w:fldChar w:fldCharType="begin"/>
              </w:r>
              <w:r>
                <w:instrText xml:space="preserve"> PAGEREF _Toc17580 \h </w:instrText>
              </w:r>
              <w:r>
                <w:fldChar w:fldCharType="separate"/>
              </w:r>
              <w:r>
                <w:t>28</w:t>
              </w:r>
              <w:r>
                <w:fldChar w:fldCharType="end"/>
              </w:r>
              <w:r>
                <w:rPr>
                  <w:highlight w:val="none"/>
                </w:rPr>
                <w:fldChar w:fldCharType="end"/>
              </w:r>
            </w:p>
            <w:p>
              <w:pPr>
                <w:pStyle w:val="13"/>
                <w:tabs>
                  <w:tab w:val="right" w:leader="dot" w:pos="9683"/>
                </w:tabs>
              </w:pPr>
              <w:r>
                <w:rPr>
                  <w:highlight w:val="none"/>
                </w:rPr>
                <w:fldChar w:fldCharType="begin"/>
              </w:r>
              <w:r>
                <w:rPr>
                  <w:highlight w:val="none"/>
                </w:rPr>
                <w:instrText xml:space="preserve"> HYPERLINK \l _Toc12306 </w:instrText>
              </w:r>
              <w:r>
                <w:rPr>
                  <w:highlight w:val="none"/>
                </w:rPr>
                <w:fldChar w:fldCharType="separate"/>
              </w:r>
              <w:r>
                <w:rPr>
                  <w:rFonts w:hint="default" w:ascii="Times New Roman" w:hAnsi="Times New Roman" w:eastAsia="Times New Roman" w:cs="Times New Roman"/>
                  <w:w w:val="100"/>
                  <w:szCs w:val="28"/>
                  <w:lang w:val="zh-CN" w:eastAsia="zh-CN" w:bidi="zh-CN"/>
                </w:rPr>
                <w:t xml:space="preserve">7.4 </w:t>
              </w:r>
              <w:r>
                <w:rPr>
                  <w:highlight w:val="none"/>
                </w:rPr>
                <w:t>定标</w:t>
              </w:r>
              <w:r>
                <w:tab/>
              </w:r>
              <w:r>
                <w:fldChar w:fldCharType="begin"/>
              </w:r>
              <w:r>
                <w:instrText xml:space="preserve"> PAGEREF _Toc12306 \h </w:instrText>
              </w:r>
              <w:r>
                <w:fldChar w:fldCharType="separate"/>
              </w:r>
              <w:r>
                <w:t>28</w:t>
              </w:r>
              <w:r>
                <w:fldChar w:fldCharType="end"/>
              </w:r>
              <w:r>
                <w:rPr>
                  <w:highlight w:val="none"/>
                </w:rPr>
                <w:fldChar w:fldCharType="end"/>
              </w:r>
            </w:p>
            <w:p>
              <w:pPr>
                <w:pStyle w:val="13"/>
                <w:tabs>
                  <w:tab w:val="right" w:leader="dot" w:pos="9683"/>
                </w:tabs>
              </w:pPr>
              <w:r>
                <w:rPr>
                  <w:highlight w:val="none"/>
                </w:rPr>
                <w:fldChar w:fldCharType="begin"/>
              </w:r>
              <w:r>
                <w:rPr>
                  <w:highlight w:val="none"/>
                </w:rPr>
                <w:instrText xml:space="preserve"> HYPERLINK \l _Toc9620 </w:instrText>
              </w:r>
              <w:r>
                <w:rPr>
                  <w:highlight w:val="none"/>
                </w:rPr>
                <w:fldChar w:fldCharType="separate"/>
              </w:r>
              <w:r>
                <w:rPr>
                  <w:rFonts w:hint="default" w:ascii="Times New Roman" w:hAnsi="Times New Roman" w:eastAsia="Times New Roman" w:cs="Times New Roman"/>
                  <w:w w:val="100"/>
                  <w:szCs w:val="28"/>
                  <w:lang w:val="zh-CN" w:eastAsia="zh-CN" w:bidi="zh-CN"/>
                </w:rPr>
                <w:t xml:space="preserve">7.5 </w:t>
              </w:r>
              <w:r>
                <w:rPr>
                  <w:highlight w:val="none"/>
                </w:rPr>
                <w:t>中标通知</w:t>
              </w:r>
              <w:r>
                <w:tab/>
              </w:r>
              <w:r>
                <w:fldChar w:fldCharType="begin"/>
              </w:r>
              <w:r>
                <w:instrText xml:space="preserve"> PAGEREF _Toc9620 \h </w:instrText>
              </w:r>
              <w:r>
                <w:fldChar w:fldCharType="separate"/>
              </w:r>
              <w:r>
                <w:t>28</w:t>
              </w:r>
              <w:r>
                <w:fldChar w:fldCharType="end"/>
              </w:r>
              <w:r>
                <w:rPr>
                  <w:highlight w:val="none"/>
                </w:rPr>
                <w:fldChar w:fldCharType="end"/>
              </w:r>
            </w:p>
            <w:p>
              <w:pPr>
                <w:pStyle w:val="13"/>
                <w:tabs>
                  <w:tab w:val="right" w:leader="dot" w:pos="9683"/>
                </w:tabs>
              </w:pPr>
              <w:r>
                <w:rPr>
                  <w:highlight w:val="none"/>
                </w:rPr>
                <w:fldChar w:fldCharType="begin"/>
              </w:r>
              <w:r>
                <w:rPr>
                  <w:highlight w:val="none"/>
                </w:rPr>
                <w:instrText xml:space="preserve"> HYPERLINK \l _Toc17442 </w:instrText>
              </w:r>
              <w:r>
                <w:rPr>
                  <w:highlight w:val="none"/>
                </w:rPr>
                <w:fldChar w:fldCharType="separate"/>
              </w:r>
              <w:r>
                <w:rPr>
                  <w:rFonts w:hint="default" w:ascii="Times New Roman" w:hAnsi="Times New Roman" w:eastAsia="Times New Roman" w:cs="Times New Roman"/>
                  <w:w w:val="100"/>
                  <w:szCs w:val="28"/>
                  <w:lang w:val="zh-CN" w:eastAsia="zh-CN" w:bidi="zh-CN"/>
                </w:rPr>
                <w:t xml:space="preserve">7.6 </w:t>
              </w:r>
              <w:r>
                <w:rPr>
                  <w:highlight w:val="none"/>
                </w:rPr>
                <w:t>履约保证金</w:t>
              </w:r>
              <w:r>
                <w:tab/>
              </w:r>
              <w:r>
                <w:fldChar w:fldCharType="begin"/>
              </w:r>
              <w:r>
                <w:instrText xml:space="preserve"> PAGEREF _Toc17442 \h </w:instrText>
              </w:r>
              <w:r>
                <w:fldChar w:fldCharType="separate"/>
              </w:r>
              <w:r>
                <w:t>28</w:t>
              </w:r>
              <w:r>
                <w:fldChar w:fldCharType="end"/>
              </w:r>
              <w:r>
                <w:rPr>
                  <w:highlight w:val="none"/>
                </w:rPr>
                <w:fldChar w:fldCharType="end"/>
              </w:r>
            </w:p>
            <w:p>
              <w:pPr>
                <w:pStyle w:val="13"/>
                <w:tabs>
                  <w:tab w:val="right" w:leader="dot" w:pos="9683"/>
                </w:tabs>
              </w:pPr>
              <w:r>
                <w:rPr>
                  <w:highlight w:val="none"/>
                </w:rPr>
                <w:fldChar w:fldCharType="begin"/>
              </w:r>
              <w:r>
                <w:rPr>
                  <w:highlight w:val="none"/>
                </w:rPr>
                <w:instrText xml:space="preserve"> HYPERLINK \l _Toc14506 </w:instrText>
              </w:r>
              <w:r>
                <w:rPr>
                  <w:highlight w:val="none"/>
                </w:rPr>
                <w:fldChar w:fldCharType="separate"/>
              </w:r>
              <w:r>
                <w:rPr>
                  <w:rFonts w:hint="default" w:ascii="Times New Roman" w:hAnsi="Times New Roman" w:eastAsia="Times New Roman" w:cs="Times New Roman"/>
                  <w:w w:val="100"/>
                  <w:szCs w:val="28"/>
                  <w:lang w:val="zh-CN" w:eastAsia="zh-CN" w:bidi="zh-CN"/>
                </w:rPr>
                <w:t xml:space="preserve">7.7 </w:t>
              </w:r>
              <w:r>
                <w:rPr>
                  <w:highlight w:val="none"/>
                </w:rPr>
                <w:t>签订合同</w:t>
              </w:r>
              <w:r>
                <w:tab/>
              </w:r>
              <w:r>
                <w:fldChar w:fldCharType="begin"/>
              </w:r>
              <w:r>
                <w:instrText xml:space="preserve"> PAGEREF _Toc14506 \h </w:instrText>
              </w:r>
              <w:r>
                <w:fldChar w:fldCharType="separate"/>
              </w:r>
              <w:r>
                <w:t>29</w:t>
              </w:r>
              <w:r>
                <w:fldChar w:fldCharType="end"/>
              </w:r>
              <w:r>
                <w:rPr>
                  <w:highlight w:val="none"/>
                </w:rPr>
                <w:fldChar w:fldCharType="end"/>
              </w:r>
            </w:p>
            <w:p>
              <w:pPr>
                <w:pStyle w:val="18"/>
                <w:tabs>
                  <w:tab w:val="right" w:leader="dot" w:pos="9683"/>
                </w:tabs>
              </w:pPr>
              <w:r>
                <w:rPr>
                  <w:highlight w:val="none"/>
                </w:rPr>
                <w:fldChar w:fldCharType="begin"/>
              </w:r>
              <w:r>
                <w:rPr>
                  <w:highlight w:val="none"/>
                </w:rPr>
                <w:instrText xml:space="preserve"> HYPERLINK \l _Toc16940 </w:instrText>
              </w:r>
              <w:r>
                <w:rPr>
                  <w:highlight w:val="none"/>
                </w:rPr>
                <w:fldChar w:fldCharType="separate"/>
              </w:r>
              <w:r>
                <w:rPr>
                  <w:rFonts w:hint="default" w:ascii="Times New Roman" w:hAnsi="Times New Roman" w:eastAsia="Times New Roman" w:cs="Times New Roman"/>
                  <w:bCs/>
                  <w:w w:val="99"/>
                  <w:szCs w:val="32"/>
                  <w:lang w:val="zh-CN" w:eastAsia="zh-CN" w:bidi="zh-CN"/>
                </w:rPr>
                <w:t xml:space="preserve">8. </w:t>
              </w:r>
              <w:r>
                <w:rPr>
                  <w:highlight w:val="none"/>
                </w:rPr>
                <w:t>纪律和监督</w:t>
              </w:r>
              <w:r>
                <w:tab/>
              </w:r>
              <w:r>
                <w:fldChar w:fldCharType="begin"/>
              </w:r>
              <w:r>
                <w:instrText xml:space="preserve"> PAGEREF _Toc16940 \h </w:instrText>
              </w:r>
              <w:r>
                <w:fldChar w:fldCharType="separate"/>
              </w:r>
              <w:r>
                <w:t>29</w:t>
              </w:r>
              <w:r>
                <w:fldChar w:fldCharType="end"/>
              </w:r>
              <w:r>
                <w:rPr>
                  <w:highlight w:val="none"/>
                </w:rPr>
                <w:fldChar w:fldCharType="end"/>
              </w:r>
            </w:p>
            <w:p>
              <w:pPr>
                <w:pStyle w:val="13"/>
                <w:tabs>
                  <w:tab w:val="right" w:leader="dot" w:pos="9683"/>
                </w:tabs>
              </w:pPr>
              <w:r>
                <w:rPr>
                  <w:highlight w:val="none"/>
                </w:rPr>
                <w:fldChar w:fldCharType="begin"/>
              </w:r>
              <w:r>
                <w:rPr>
                  <w:highlight w:val="none"/>
                </w:rPr>
                <w:instrText xml:space="preserve"> HYPERLINK \l _Toc10568 </w:instrText>
              </w:r>
              <w:r>
                <w:rPr>
                  <w:highlight w:val="none"/>
                </w:rPr>
                <w:fldChar w:fldCharType="separate"/>
              </w:r>
              <w:r>
                <w:rPr>
                  <w:rFonts w:hint="default" w:ascii="Times New Roman" w:hAnsi="Times New Roman" w:eastAsia="Times New Roman" w:cs="Times New Roman"/>
                  <w:w w:val="100"/>
                  <w:szCs w:val="28"/>
                  <w:lang w:val="zh-CN" w:eastAsia="zh-CN" w:bidi="zh-CN"/>
                </w:rPr>
                <w:t xml:space="preserve">8.1 </w:t>
              </w:r>
              <w:r>
                <w:rPr>
                  <w:spacing w:val="-2"/>
                  <w:highlight w:val="none"/>
                </w:rPr>
                <w:t>对招标人的纪律要求</w:t>
              </w:r>
              <w:r>
                <w:tab/>
              </w:r>
              <w:r>
                <w:fldChar w:fldCharType="begin"/>
              </w:r>
              <w:r>
                <w:instrText xml:space="preserve"> PAGEREF _Toc10568 \h </w:instrText>
              </w:r>
              <w:r>
                <w:fldChar w:fldCharType="separate"/>
              </w:r>
              <w:r>
                <w:t>29</w:t>
              </w:r>
              <w:r>
                <w:fldChar w:fldCharType="end"/>
              </w:r>
              <w:r>
                <w:rPr>
                  <w:highlight w:val="none"/>
                </w:rPr>
                <w:fldChar w:fldCharType="end"/>
              </w:r>
            </w:p>
            <w:p>
              <w:pPr>
                <w:pStyle w:val="13"/>
                <w:tabs>
                  <w:tab w:val="right" w:leader="dot" w:pos="9683"/>
                </w:tabs>
              </w:pPr>
              <w:r>
                <w:rPr>
                  <w:highlight w:val="none"/>
                </w:rPr>
                <w:fldChar w:fldCharType="begin"/>
              </w:r>
              <w:r>
                <w:rPr>
                  <w:highlight w:val="none"/>
                </w:rPr>
                <w:instrText xml:space="preserve"> HYPERLINK \l _Toc32314 </w:instrText>
              </w:r>
              <w:r>
                <w:rPr>
                  <w:highlight w:val="none"/>
                </w:rPr>
                <w:fldChar w:fldCharType="separate"/>
              </w:r>
              <w:r>
                <w:rPr>
                  <w:rFonts w:hint="default" w:ascii="Times New Roman" w:hAnsi="Times New Roman" w:eastAsia="Times New Roman" w:cs="Times New Roman"/>
                  <w:w w:val="100"/>
                  <w:szCs w:val="28"/>
                  <w:lang w:val="zh-CN" w:eastAsia="zh-CN" w:bidi="zh-CN"/>
                </w:rPr>
                <w:t xml:space="preserve">8.2 </w:t>
              </w:r>
              <w:r>
                <w:rPr>
                  <w:spacing w:val="-2"/>
                  <w:highlight w:val="none"/>
                </w:rPr>
                <w:t>对投标人的纪律要求</w:t>
              </w:r>
              <w:r>
                <w:tab/>
              </w:r>
              <w:r>
                <w:fldChar w:fldCharType="begin"/>
              </w:r>
              <w:r>
                <w:instrText xml:space="preserve"> PAGEREF _Toc32314 \h </w:instrText>
              </w:r>
              <w:r>
                <w:fldChar w:fldCharType="separate"/>
              </w:r>
              <w:r>
                <w:t>29</w:t>
              </w:r>
              <w:r>
                <w:fldChar w:fldCharType="end"/>
              </w:r>
              <w:r>
                <w:rPr>
                  <w:highlight w:val="none"/>
                </w:rPr>
                <w:fldChar w:fldCharType="end"/>
              </w:r>
            </w:p>
            <w:p>
              <w:pPr>
                <w:pStyle w:val="13"/>
                <w:tabs>
                  <w:tab w:val="right" w:leader="dot" w:pos="9683"/>
                </w:tabs>
              </w:pPr>
              <w:r>
                <w:rPr>
                  <w:highlight w:val="none"/>
                </w:rPr>
                <w:fldChar w:fldCharType="begin"/>
              </w:r>
              <w:r>
                <w:rPr>
                  <w:highlight w:val="none"/>
                </w:rPr>
                <w:instrText xml:space="preserve"> HYPERLINK \l _Toc24835 </w:instrText>
              </w:r>
              <w:r>
                <w:rPr>
                  <w:highlight w:val="none"/>
                </w:rPr>
                <w:fldChar w:fldCharType="separate"/>
              </w:r>
              <w:r>
                <w:rPr>
                  <w:rFonts w:hint="default" w:ascii="Times New Roman" w:hAnsi="Times New Roman" w:eastAsia="Times New Roman" w:cs="Times New Roman"/>
                  <w:w w:val="100"/>
                  <w:szCs w:val="28"/>
                  <w:lang w:val="zh-CN" w:eastAsia="zh-CN" w:bidi="zh-CN"/>
                </w:rPr>
                <w:t xml:space="preserve">8.3 </w:t>
              </w:r>
              <w:r>
                <w:rPr>
                  <w:spacing w:val="-3"/>
                  <w:highlight w:val="none"/>
                </w:rPr>
                <w:t>对评标委员会成员的纪律要求</w:t>
              </w:r>
              <w:r>
                <w:tab/>
              </w:r>
              <w:r>
                <w:fldChar w:fldCharType="begin"/>
              </w:r>
              <w:r>
                <w:instrText xml:space="preserve"> PAGEREF _Toc24835 \h </w:instrText>
              </w:r>
              <w:r>
                <w:fldChar w:fldCharType="separate"/>
              </w:r>
              <w:r>
                <w:t>29</w:t>
              </w:r>
              <w:r>
                <w:fldChar w:fldCharType="end"/>
              </w:r>
              <w:r>
                <w:rPr>
                  <w:highlight w:val="none"/>
                </w:rPr>
                <w:fldChar w:fldCharType="end"/>
              </w:r>
            </w:p>
            <w:p>
              <w:pPr>
                <w:pStyle w:val="13"/>
                <w:tabs>
                  <w:tab w:val="right" w:leader="dot" w:pos="9683"/>
                </w:tabs>
              </w:pPr>
              <w:r>
                <w:rPr>
                  <w:highlight w:val="none"/>
                </w:rPr>
                <w:fldChar w:fldCharType="begin"/>
              </w:r>
              <w:r>
                <w:rPr>
                  <w:highlight w:val="none"/>
                </w:rPr>
                <w:instrText xml:space="preserve"> HYPERLINK \l _Toc21112 </w:instrText>
              </w:r>
              <w:r>
                <w:rPr>
                  <w:highlight w:val="none"/>
                </w:rPr>
                <w:fldChar w:fldCharType="separate"/>
              </w:r>
              <w:r>
                <w:rPr>
                  <w:rFonts w:hint="default" w:ascii="Times New Roman" w:hAnsi="Times New Roman" w:eastAsia="Times New Roman" w:cs="Times New Roman"/>
                  <w:w w:val="100"/>
                  <w:szCs w:val="28"/>
                  <w:lang w:val="zh-CN" w:eastAsia="zh-CN" w:bidi="zh-CN"/>
                </w:rPr>
                <w:t xml:space="preserve">8.4 </w:t>
              </w:r>
              <w:r>
                <w:rPr>
                  <w:spacing w:val="-3"/>
                  <w:highlight w:val="none"/>
                </w:rPr>
                <w:t>对与评标活动有关的工作人员的纪律要求</w:t>
              </w:r>
              <w:r>
                <w:tab/>
              </w:r>
              <w:r>
                <w:fldChar w:fldCharType="begin"/>
              </w:r>
              <w:r>
                <w:instrText xml:space="preserve"> PAGEREF _Toc21112 \h </w:instrText>
              </w:r>
              <w:r>
                <w:fldChar w:fldCharType="separate"/>
              </w:r>
              <w:r>
                <w:t>29</w:t>
              </w:r>
              <w:r>
                <w:fldChar w:fldCharType="end"/>
              </w:r>
              <w:r>
                <w:rPr>
                  <w:highlight w:val="none"/>
                </w:rPr>
                <w:fldChar w:fldCharType="end"/>
              </w:r>
            </w:p>
            <w:p>
              <w:pPr>
                <w:pStyle w:val="13"/>
                <w:tabs>
                  <w:tab w:val="right" w:leader="dot" w:pos="9683"/>
                </w:tabs>
              </w:pPr>
              <w:r>
                <w:rPr>
                  <w:highlight w:val="none"/>
                </w:rPr>
                <w:fldChar w:fldCharType="begin"/>
              </w:r>
              <w:r>
                <w:rPr>
                  <w:highlight w:val="none"/>
                </w:rPr>
                <w:instrText xml:space="preserve"> HYPERLINK \l _Toc13467 </w:instrText>
              </w:r>
              <w:r>
                <w:rPr>
                  <w:highlight w:val="none"/>
                </w:rPr>
                <w:fldChar w:fldCharType="separate"/>
              </w:r>
              <w:r>
                <w:rPr>
                  <w:rFonts w:hint="default" w:ascii="Times New Roman" w:hAnsi="Times New Roman" w:eastAsia="Times New Roman" w:cs="Times New Roman"/>
                  <w:w w:val="100"/>
                  <w:szCs w:val="28"/>
                  <w:lang w:val="zh-CN" w:eastAsia="zh-CN" w:bidi="zh-CN"/>
                </w:rPr>
                <w:t xml:space="preserve">8.5 </w:t>
              </w:r>
              <w:r>
                <w:rPr>
                  <w:highlight w:val="none"/>
                </w:rPr>
                <w:t>投诉</w:t>
              </w:r>
              <w:r>
                <w:tab/>
              </w:r>
              <w:r>
                <w:fldChar w:fldCharType="begin"/>
              </w:r>
              <w:r>
                <w:instrText xml:space="preserve"> PAGEREF _Toc13467 \h </w:instrText>
              </w:r>
              <w:r>
                <w:fldChar w:fldCharType="separate"/>
              </w:r>
              <w:r>
                <w:t>30</w:t>
              </w:r>
              <w:r>
                <w:fldChar w:fldCharType="end"/>
              </w:r>
              <w:r>
                <w:rPr>
                  <w:highlight w:val="none"/>
                </w:rPr>
                <w:fldChar w:fldCharType="end"/>
              </w:r>
            </w:p>
            <w:p>
              <w:pPr>
                <w:pStyle w:val="18"/>
                <w:tabs>
                  <w:tab w:val="right" w:leader="dot" w:pos="9683"/>
                </w:tabs>
              </w:pPr>
              <w:r>
                <w:rPr>
                  <w:highlight w:val="none"/>
                </w:rPr>
                <w:fldChar w:fldCharType="begin"/>
              </w:r>
              <w:r>
                <w:rPr>
                  <w:highlight w:val="none"/>
                </w:rPr>
                <w:instrText xml:space="preserve"> HYPERLINK \l _Toc7908 </w:instrText>
              </w:r>
              <w:r>
                <w:rPr>
                  <w:highlight w:val="none"/>
                </w:rPr>
                <w:fldChar w:fldCharType="separate"/>
              </w:r>
              <w:r>
                <w:rPr>
                  <w:rFonts w:hint="default" w:ascii="Times New Roman" w:hAnsi="Times New Roman" w:eastAsia="Times New Roman" w:cs="Times New Roman"/>
                  <w:bCs/>
                  <w:w w:val="99"/>
                  <w:szCs w:val="32"/>
                  <w:lang w:val="zh-CN" w:eastAsia="zh-CN" w:bidi="zh-CN"/>
                </w:rPr>
                <w:t xml:space="preserve">9. </w:t>
              </w:r>
              <w:r>
                <w:rPr>
                  <w:rFonts w:hint="eastAsia" w:ascii="宋体" w:hAnsi="宋体" w:eastAsia="宋体" w:cs="宋体"/>
                  <w:highlight w:val="none"/>
                </w:rPr>
                <w:t>是否采用电子招标投标</w:t>
              </w:r>
              <w:r>
                <w:tab/>
              </w:r>
              <w:r>
                <w:fldChar w:fldCharType="begin"/>
              </w:r>
              <w:r>
                <w:instrText xml:space="preserve"> PAGEREF _Toc7908 \h </w:instrText>
              </w:r>
              <w:r>
                <w:fldChar w:fldCharType="separate"/>
              </w:r>
              <w:r>
                <w:t>30</w:t>
              </w:r>
              <w:r>
                <w:fldChar w:fldCharType="end"/>
              </w:r>
              <w:r>
                <w:rPr>
                  <w:highlight w:val="none"/>
                </w:rPr>
                <w:fldChar w:fldCharType="end"/>
              </w:r>
            </w:p>
            <w:p>
              <w:pPr>
                <w:pStyle w:val="18"/>
                <w:tabs>
                  <w:tab w:val="right" w:leader="dot" w:pos="9683"/>
                </w:tabs>
              </w:pPr>
              <w:r>
                <w:rPr>
                  <w:highlight w:val="none"/>
                </w:rPr>
                <w:fldChar w:fldCharType="begin"/>
              </w:r>
              <w:r>
                <w:rPr>
                  <w:highlight w:val="none"/>
                </w:rPr>
                <w:instrText xml:space="preserve"> HYPERLINK \l _Toc20834 </w:instrText>
              </w:r>
              <w:r>
                <w:rPr>
                  <w:highlight w:val="none"/>
                </w:rPr>
                <w:fldChar w:fldCharType="separate"/>
              </w:r>
              <w:r>
                <w:rPr>
                  <w:rFonts w:hint="default" w:ascii="Times New Roman" w:hAnsi="Times New Roman" w:eastAsia="Times New Roman" w:cs="Times New Roman"/>
                  <w:bCs/>
                  <w:w w:val="99"/>
                  <w:szCs w:val="32"/>
                  <w:lang w:val="zh-CN" w:eastAsia="zh-CN" w:bidi="zh-CN"/>
                </w:rPr>
                <w:t xml:space="preserve">10. </w:t>
              </w:r>
              <w:r>
                <w:rPr>
                  <w:rFonts w:hint="eastAsia" w:ascii="宋体" w:hAnsi="宋体" w:eastAsia="宋体" w:cs="宋体"/>
                  <w:highlight w:val="none"/>
                </w:rPr>
                <w:t>需要补充的其他内容</w:t>
              </w:r>
              <w:r>
                <w:tab/>
              </w:r>
              <w:r>
                <w:fldChar w:fldCharType="begin"/>
              </w:r>
              <w:r>
                <w:instrText xml:space="preserve"> PAGEREF _Toc20834 \h </w:instrText>
              </w:r>
              <w:r>
                <w:fldChar w:fldCharType="separate"/>
              </w:r>
              <w:r>
                <w:t>30</w:t>
              </w:r>
              <w:r>
                <w:fldChar w:fldCharType="end"/>
              </w:r>
              <w:r>
                <w:rPr>
                  <w:highlight w:val="none"/>
                </w:rPr>
                <w:fldChar w:fldCharType="end"/>
              </w:r>
            </w:p>
            <w:p>
              <w:pPr>
                <w:pStyle w:val="13"/>
                <w:tabs>
                  <w:tab w:val="right" w:leader="dot" w:pos="9683"/>
                </w:tabs>
              </w:pPr>
              <w:r>
                <w:rPr>
                  <w:highlight w:val="none"/>
                </w:rPr>
                <w:fldChar w:fldCharType="begin"/>
              </w:r>
              <w:r>
                <w:rPr>
                  <w:highlight w:val="none"/>
                </w:rPr>
                <w:instrText xml:space="preserve"> HYPERLINK \l _Toc15243 </w:instrText>
              </w:r>
              <w:r>
                <w:rPr>
                  <w:highlight w:val="none"/>
                </w:rPr>
                <w:fldChar w:fldCharType="separate"/>
              </w:r>
              <w:r>
                <w:rPr>
                  <w:highlight w:val="none"/>
                </w:rPr>
                <w:t>附件一：开标记录表</w:t>
              </w:r>
              <w:r>
                <w:tab/>
              </w:r>
              <w:r>
                <w:fldChar w:fldCharType="begin"/>
              </w:r>
              <w:r>
                <w:instrText xml:space="preserve"> PAGEREF _Toc15243 \h </w:instrText>
              </w:r>
              <w:r>
                <w:fldChar w:fldCharType="separate"/>
              </w:r>
              <w:r>
                <w:t>31</w:t>
              </w:r>
              <w:r>
                <w:fldChar w:fldCharType="end"/>
              </w:r>
              <w:r>
                <w:rPr>
                  <w:highlight w:val="none"/>
                </w:rPr>
                <w:fldChar w:fldCharType="end"/>
              </w:r>
            </w:p>
            <w:p>
              <w:pPr>
                <w:pStyle w:val="13"/>
                <w:tabs>
                  <w:tab w:val="right" w:leader="dot" w:pos="9683"/>
                </w:tabs>
              </w:pPr>
              <w:r>
                <w:rPr>
                  <w:highlight w:val="none"/>
                </w:rPr>
                <w:fldChar w:fldCharType="begin"/>
              </w:r>
              <w:r>
                <w:rPr>
                  <w:highlight w:val="none"/>
                </w:rPr>
                <w:instrText xml:space="preserve"> HYPERLINK \l _Toc14101 </w:instrText>
              </w:r>
              <w:r>
                <w:rPr>
                  <w:highlight w:val="none"/>
                </w:rPr>
                <w:fldChar w:fldCharType="separate"/>
              </w:r>
              <w:r>
                <w:rPr>
                  <w:highlight w:val="none"/>
                </w:rPr>
                <w:t>附件二：问题澄清通知</w:t>
              </w:r>
              <w:r>
                <w:tab/>
              </w:r>
              <w:r>
                <w:fldChar w:fldCharType="begin"/>
              </w:r>
              <w:r>
                <w:instrText xml:space="preserve"> PAGEREF _Toc14101 \h </w:instrText>
              </w:r>
              <w:r>
                <w:fldChar w:fldCharType="separate"/>
              </w:r>
              <w:r>
                <w:t>32</w:t>
              </w:r>
              <w:r>
                <w:fldChar w:fldCharType="end"/>
              </w:r>
              <w:r>
                <w:rPr>
                  <w:highlight w:val="none"/>
                </w:rPr>
                <w:fldChar w:fldCharType="end"/>
              </w:r>
            </w:p>
            <w:p>
              <w:pPr>
                <w:pStyle w:val="13"/>
                <w:tabs>
                  <w:tab w:val="right" w:leader="dot" w:pos="9683"/>
                </w:tabs>
              </w:pPr>
              <w:r>
                <w:rPr>
                  <w:highlight w:val="none"/>
                </w:rPr>
                <w:fldChar w:fldCharType="begin"/>
              </w:r>
              <w:r>
                <w:rPr>
                  <w:highlight w:val="none"/>
                </w:rPr>
                <w:instrText xml:space="preserve"> HYPERLINK \l _Toc6547 </w:instrText>
              </w:r>
              <w:r>
                <w:rPr>
                  <w:highlight w:val="none"/>
                </w:rPr>
                <w:fldChar w:fldCharType="separate"/>
              </w:r>
              <w:r>
                <w:rPr>
                  <w:highlight w:val="none"/>
                </w:rPr>
                <w:t>附件三：问题的澄清</w:t>
              </w:r>
              <w:r>
                <w:tab/>
              </w:r>
              <w:r>
                <w:fldChar w:fldCharType="begin"/>
              </w:r>
              <w:r>
                <w:instrText xml:space="preserve"> PAGEREF _Toc6547 \h </w:instrText>
              </w:r>
              <w:r>
                <w:fldChar w:fldCharType="separate"/>
              </w:r>
              <w:r>
                <w:t>33</w:t>
              </w:r>
              <w:r>
                <w:fldChar w:fldCharType="end"/>
              </w:r>
              <w:r>
                <w:rPr>
                  <w:highlight w:val="none"/>
                </w:rPr>
                <w:fldChar w:fldCharType="end"/>
              </w:r>
            </w:p>
            <w:p>
              <w:pPr>
                <w:pStyle w:val="13"/>
                <w:tabs>
                  <w:tab w:val="right" w:leader="dot" w:pos="9683"/>
                </w:tabs>
              </w:pPr>
              <w:r>
                <w:rPr>
                  <w:highlight w:val="none"/>
                </w:rPr>
                <w:fldChar w:fldCharType="begin"/>
              </w:r>
              <w:r>
                <w:rPr>
                  <w:highlight w:val="none"/>
                </w:rPr>
                <w:instrText xml:space="preserve"> HYPERLINK \l _Toc10551 </w:instrText>
              </w:r>
              <w:r>
                <w:rPr>
                  <w:highlight w:val="none"/>
                </w:rPr>
                <w:fldChar w:fldCharType="separate"/>
              </w:r>
              <w:r>
                <w:rPr>
                  <w:highlight w:val="none"/>
                </w:rPr>
                <w:t>附件四：中标通知书</w:t>
              </w:r>
              <w:r>
                <w:tab/>
              </w:r>
              <w:r>
                <w:fldChar w:fldCharType="begin"/>
              </w:r>
              <w:r>
                <w:instrText xml:space="preserve"> PAGEREF _Toc10551 \h </w:instrText>
              </w:r>
              <w:r>
                <w:fldChar w:fldCharType="separate"/>
              </w:r>
              <w:r>
                <w:t>34</w:t>
              </w:r>
              <w:r>
                <w:fldChar w:fldCharType="end"/>
              </w:r>
              <w:r>
                <w:rPr>
                  <w:highlight w:val="none"/>
                </w:rPr>
                <w:fldChar w:fldCharType="end"/>
              </w:r>
            </w:p>
            <w:p>
              <w:pPr>
                <w:pStyle w:val="17"/>
                <w:tabs>
                  <w:tab w:val="right" w:leader="dot" w:pos="9683"/>
                </w:tabs>
              </w:pPr>
              <w:r>
                <w:rPr>
                  <w:highlight w:val="none"/>
                </w:rPr>
                <w:fldChar w:fldCharType="begin"/>
              </w:r>
              <w:r>
                <w:rPr>
                  <w:highlight w:val="none"/>
                </w:rPr>
                <w:instrText xml:space="preserve"> HYPERLINK \l _Toc29085 </w:instrText>
              </w:r>
              <w:r>
                <w:rPr>
                  <w:highlight w:val="none"/>
                </w:rPr>
                <w:fldChar w:fldCharType="separate"/>
              </w:r>
              <w:r>
                <w:rPr>
                  <w:rFonts w:hint="eastAsia" w:ascii="宋体" w:hAnsi="宋体" w:eastAsia="宋体" w:cs="宋体"/>
                  <w:highlight w:val="none"/>
                </w:rPr>
                <w:t>第三章评标办法（经评审的最低投标价法）</w:t>
              </w:r>
              <w:r>
                <w:tab/>
              </w:r>
              <w:r>
                <w:fldChar w:fldCharType="begin"/>
              </w:r>
              <w:r>
                <w:instrText xml:space="preserve"> PAGEREF _Toc29085 \h </w:instrText>
              </w:r>
              <w:r>
                <w:fldChar w:fldCharType="separate"/>
              </w:r>
              <w:r>
                <w:t>35</w:t>
              </w:r>
              <w:r>
                <w:fldChar w:fldCharType="end"/>
              </w:r>
              <w:r>
                <w:rPr>
                  <w:highlight w:val="none"/>
                </w:rPr>
                <w:fldChar w:fldCharType="end"/>
              </w:r>
            </w:p>
            <w:p>
              <w:pPr>
                <w:pStyle w:val="18"/>
                <w:tabs>
                  <w:tab w:val="right" w:leader="dot" w:pos="9683"/>
                </w:tabs>
              </w:pPr>
              <w:r>
                <w:rPr>
                  <w:highlight w:val="none"/>
                </w:rPr>
                <w:fldChar w:fldCharType="begin"/>
              </w:r>
              <w:r>
                <w:rPr>
                  <w:highlight w:val="none"/>
                </w:rPr>
                <w:instrText xml:space="preserve"> HYPERLINK \l _Toc7269 </w:instrText>
              </w:r>
              <w:r>
                <w:rPr>
                  <w:highlight w:val="none"/>
                </w:rPr>
                <w:fldChar w:fldCharType="separate"/>
              </w:r>
              <w:r>
                <w:rPr>
                  <w:rFonts w:hint="eastAsia" w:ascii="宋体" w:hAnsi="宋体" w:eastAsia="宋体" w:cs="宋体"/>
                  <w:highlight w:val="none"/>
                </w:rPr>
                <w:t>评标办法前附表</w:t>
              </w:r>
              <w:r>
                <w:tab/>
              </w:r>
              <w:r>
                <w:fldChar w:fldCharType="begin"/>
              </w:r>
              <w:r>
                <w:instrText xml:space="preserve"> PAGEREF _Toc7269 \h </w:instrText>
              </w:r>
              <w:r>
                <w:fldChar w:fldCharType="separate"/>
              </w:r>
              <w:r>
                <w:t>35</w:t>
              </w:r>
              <w:r>
                <w:fldChar w:fldCharType="end"/>
              </w:r>
              <w:r>
                <w:rPr>
                  <w:highlight w:val="none"/>
                </w:rPr>
                <w:fldChar w:fldCharType="end"/>
              </w:r>
            </w:p>
            <w:p>
              <w:pPr>
                <w:pStyle w:val="18"/>
                <w:tabs>
                  <w:tab w:val="right" w:leader="dot" w:pos="9683"/>
                </w:tabs>
              </w:pPr>
              <w:r>
                <w:rPr>
                  <w:highlight w:val="none"/>
                </w:rPr>
                <w:fldChar w:fldCharType="begin"/>
              </w:r>
              <w:r>
                <w:rPr>
                  <w:highlight w:val="none"/>
                </w:rPr>
                <w:instrText xml:space="preserve"> HYPERLINK \l _Toc4685 </w:instrText>
              </w:r>
              <w:r>
                <w:rPr>
                  <w:highlight w:val="none"/>
                </w:rPr>
                <w:fldChar w:fldCharType="separate"/>
              </w:r>
              <w:r>
                <w:rPr>
                  <w:rFonts w:hint="default" w:ascii="Times New Roman" w:hAnsi="Times New Roman" w:eastAsia="Times New Roman" w:cs="Times New Roman"/>
                  <w:bCs/>
                  <w:w w:val="99"/>
                  <w:szCs w:val="32"/>
                  <w:lang w:val="zh-CN" w:eastAsia="zh-CN" w:bidi="zh-CN"/>
                </w:rPr>
                <w:t xml:space="preserve">1. </w:t>
              </w:r>
              <w:r>
                <w:rPr>
                  <w:highlight w:val="none"/>
                </w:rPr>
                <w:t>评标方法</w:t>
              </w:r>
              <w:r>
                <w:tab/>
              </w:r>
              <w:r>
                <w:fldChar w:fldCharType="begin"/>
              </w:r>
              <w:r>
                <w:instrText xml:space="preserve"> PAGEREF _Toc4685 \h </w:instrText>
              </w:r>
              <w:r>
                <w:fldChar w:fldCharType="separate"/>
              </w:r>
              <w:r>
                <w:t>38</w:t>
              </w:r>
              <w:r>
                <w:fldChar w:fldCharType="end"/>
              </w:r>
              <w:r>
                <w:rPr>
                  <w:highlight w:val="none"/>
                </w:rPr>
                <w:fldChar w:fldCharType="end"/>
              </w:r>
            </w:p>
            <w:p>
              <w:pPr>
                <w:pStyle w:val="18"/>
                <w:tabs>
                  <w:tab w:val="right" w:leader="dot" w:pos="9683"/>
                </w:tabs>
              </w:pPr>
              <w:r>
                <w:rPr>
                  <w:highlight w:val="none"/>
                </w:rPr>
                <w:fldChar w:fldCharType="begin"/>
              </w:r>
              <w:r>
                <w:rPr>
                  <w:highlight w:val="none"/>
                </w:rPr>
                <w:instrText xml:space="preserve"> HYPERLINK \l _Toc1863 </w:instrText>
              </w:r>
              <w:r>
                <w:rPr>
                  <w:highlight w:val="none"/>
                </w:rPr>
                <w:fldChar w:fldCharType="separate"/>
              </w:r>
              <w:r>
                <w:rPr>
                  <w:rFonts w:hint="default" w:ascii="Times New Roman" w:hAnsi="Times New Roman" w:eastAsia="Times New Roman" w:cs="Times New Roman"/>
                  <w:bCs/>
                  <w:w w:val="99"/>
                  <w:szCs w:val="32"/>
                  <w:lang w:val="zh-CN" w:eastAsia="zh-CN" w:bidi="zh-CN"/>
                </w:rPr>
                <w:t xml:space="preserve">2. </w:t>
              </w:r>
              <w:r>
                <w:rPr>
                  <w:highlight w:val="none"/>
                </w:rPr>
                <w:t>评审标准</w:t>
              </w:r>
              <w:r>
                <w:tab/>
              </w:r>
              <w:r>
                <w:fldChar w:fldCharType="begin"/>
              </w:r>
              <w:r>
                <w:instrText xml:space="preserve"> PAGEREF _Toc1863 \h </w:instrText>
              </w:r>
              <w:r>
                <w:fldChar w:fldCharType="separate"/>
              </w:r>
              <w:r>
                <w:t>38</w:t>
              </w:r>
              <w:r>
                <w:fldChar w:fldCharType="end"/>
              </w:r>
              <w:r>
                <w:rPr>
                  <w:highlight w:val="none"/>
                </w:rPr>
                <w:fldChar w:fldCharType="end"/>
              </w:r>
            </w:p>
            <w:p>
              <w:pPr>
                <w:pStyle w:val="13"/>
                <w:tabs>
                  <w:tab w:val="right" w:leader="dot" w:pos="9683"/>
                </w:tabs>
              </w:pPr>
              <w:r>
                <w:rPr>
                  <w:highlight w:val="none"/>
                </w:rPr>
                <w:fldChar w:fldCharType="begin"/>
              </w:r>
              <w:r>
                <w:rPr>
                  <w:highlight w:val="none"/>
                </w:rPr>
                <w:instrText xml:space="preserve"> HYPERLINK \l _Toc14326 </w:instrText>
              </w:r>
              <w:r>
                <w:rPr>
                  <w:highlight w:val="none"/>
                </w:rPr>
                <w:fldChar w:fldCharType="separate"/>
              </w:r>
              <w:r>
                <w:rPr>
                  <w:rFonts w:hint="default" w:ascii="Times New Roman" w:hAnsi="Times New Roman" w:eastAsia="Times New Roman" w:cs="Times New Roman"/>
                  <w:w w:val="100"/>
                  <w:szCs w:val="28"/>
                  <w:lang w:val="zh-CN" w:eastAsia="zh-CN" w:bidi="zh-CN"/>
                </w:rPr>
                <w:t xml:space="preserve">2.1 </w:t>
              </w:r>
              <w:r>
                <w:rPr>
                  <w:spacing w:val="-1"/>
                  <w:highlight w:val="none"/>
                </w:rPr>
                <w:t>初步评审标准</w:t>
              </w:r>
              <w:r>
                <w:tab/>
              </w:r>
              <w:r>
                <w:fldChar w:fldCharType="begin"/>
              </w:r>
              <w:r>
                <w:instrText xml:space="preserve"> PAGEREF _Toc14326 \h </w:instrText>
              </w:r>
              <w:r>
                <w:fldChar w:fldCharType="separate"/>
              </w:r>
              <w:r>
                <w:t>38</w:t>
              </w:r>
              <w:r>
                <w:fldChar w:fldCharType="end"/>
              </w:r>
              <w:r>
                <w:rPr>
                  <w:highlight w:val="none"/>
                </w:rPr>
                <w:fldChar w:fldCharType="end"/>
              </w:r>
            </w:p>
            <w:p>
              <w:pPr>
                <w:pStyle w:val="13"/>
                <w:tabs>
                  <w:tab w:val="right" w:leader="dot" w:pos="9683"/>
                </w:tabs>
              </w:pPr>
              <w:r>
                <w:rPr>
                  <w:highlight w:val="none"/>
                </w:rPr>
                <w:fldChar w:fldCharType="begin"/>
              </w:r>
              <w:r>
                <w:rPr>
                  <w:highlight w:val="none"/>
                </w:rPr>
                <w:instrText xml:space="preserve"> HYPERLINK \l _Toc31748 </w:instrText>
              </w:r>
              <w:r>
                <w:rPr>
                  <w:highlight w:val="none"/>
                </w:rPr>
                <w:fldChar w:fldCharType="separate"/>
              </w:r>
              <w:r>
                <w:rPr>
                  <w:rFonts w:hint="default" w:ascii="Times New Roman" w:hAnsi="Times New Roman" w:eastAsia="Times New Roman" w:cs="Times New Roman"/>
                  <w:w w:val="100"/>
                  <w:szCs w:val="28"/>
                  <w:lang w:val="zh-CN" w:eastAsia="zh-CN" w:bidi="zh-CN"/>
                </w:rPr>
                <w:t xml:space="preserve">2.2 </w:t>
              </w:r>
              <w:r>
                <w:rPr>
                  <w:spacing w:val="-1"/>
                  <w:highlight w:val="none"/>
                </w:rPr>
                <w:t>详细评审标准</w:t>
              </w:r>
              <w:r>
                <w:tab/>
              </w:r>
              <w:r>
                <w:fldChar w:fldCharType="begin"/>
              </w:r>
              <w:r>
                <w:instrText xml:space="preserve"> PAGEREF _Toc31748 \h </w:instrText>
              </w:r>
              <w:r>
                <w:fldChar w:fldCharType="separate"/>
              </w:r>
              <w:r>
                <w:t>38</w:t>
              </w:r>
              <w:r>
                <w:fldChar w:fldCharType="end"/>
              </w:r>
              <w:r>
                <w:rPr>
                  <w:highlight w:val="none"/>
                </w:rPr>
                <w:fldChar w:fldCharType="end"/>
              </w:r>
            </w:p>
            <w:p>
              <w:pPr>
                <w:pStyle w:val="18"/>
                <w:tabs>
                  <w:tab w:val="right" w:leader="dot" w:pos="9683"/>
                </w:tabs>
              </w:pPr>
              <w:r>
                <w:rPr>
                  <w:highlight w:val="none"/>
                </w:rPr>
                <w:fldChar w:fldCharType="begin"/>
              </w:r>
              <w:r>
                <w:rPr>
                  <w:highlight w:val="none"/>
                </w:rPr>
                <w:instrText xml:space="preserve"> HYPERLINK \l _Toc24250 </w:instrText>
              </w:r>
              <w:r>
                <w:rPr>
                  <w:highlight w:val="none"/>
                </w:rPr>
                <w:fldChar w:fldCharType="separate"/>
              </w:r>
              <w:r>
                <w:rPr>
                  <w:rFonts w:hint="default" w:ascii="Times New Roman" w:hAnsi="Times New Roman" w:eastAsia="Times New Roman" w:cs="Times New Roman"/>
                  <w:bCs/>
                  <w:w w:val="99"/>
                  <w:szCs w:val="32"/>
                  <w:lang w:val="zh-CN" w:eastAsia="zh-CN" w:bidi="zh-CN"/>
                </w:rPr>
                <w:t xml:space="preserve">3. </w:t>
              </w:r>
              <w:r>
                <w:rPr>
                  <w:highlight w:val="none"/>
                </w:rPr>
                <w:t>评标程序</w:t>
              </w:r>
              <w:r>
                <w:tab/>
              </w:r>
              <w:r>
                <w:fldChar w:fldCharType="begin"/>
              </w:r>
              <w:r>
                <w:instrText xml:space="preserve"> PAGEREF _Toc24250 \h </w:instrText>
              </w:r>
              <w:r>
                <w:fldChar w:fldCharType="separate"/>
              </w:r>
              <w:r>
                <w:t>38</w:t>
              </w:r>
              <w:r>
                <w:fldChar w:fldCharType="end"/>
              </w:r>
              <w:r>
                <w:rPr>
                  <w:highlight w:val="none"/>
                </w:rPr>
                <w:fldChar w:fldCharType="end"/>
              </w:r>
            </w:p>
            <w:p>
              <w:pPr>
                <w:pStyle w:val="13"/>
                <w:tabs>
                  <w:tab w:val="right" w:leader="dot" w:pos="9683"/>
                </w:tabs>
              </w:pPr>
              <w:r>
                <w:rPr>
                  <w:highlight w:val="none"/>
                </w:rPr>
                <w:fldChar w:fldCharType="begin"/>
              </w:r>
              <w:r>
                <w:rPr>
                  <w:highlight w:val="none"/>
                </w:rPr>
                <w:instrText xml:space="preserve"> HYPERLINK \l _Toc22119 </w:instrText>
              </w:r>
              <w:r>
                <w:rPr>
                  <w:highlight w:val="none"/>
                </w:rPr>
                <w:fldChar w:fldCharType="separate"/>
              </w:r>
              <w:r>
                <w:rPr>
                  <w:rFonts w:hint="default" w:ascii="Times New Roman" w:hAnsi="Times New Roman" w:eastAsia="Times New Roman" w:cs="Times New Roman"/>
                  <w:w w:val="100"/>
                  <w:szCs w:val="28"/>
                  <w:lang w:val="zh-CN" w:eastAsia="zh-CN" w:bidi="zh-CN"/>
                </w:rPr>
                <w:t xml:space="preserve">3.1 </w:t>
              </w:r>
              <w:r>
                <w:rPr>
                  <w:highlight w:val="none"/>
                </w:rPr>
                <w:t>初步评审</w:t>
              </w:r>
              <w:r>
                <w:tab/>
              </w:r>
              <w:r>
                <w:fldChar w:fldCharType="begin"/>
              </w:r>
              <w:r>
                <w:instrText xml:space="preserve"> PAGEREF _Toc22119 \h </w:instrText>
              </w:r>
              <w:r>
                <w:fldChar w:fldCharType="separate"/>
              </w:r>
              <w:r>
                <w:t>38</w:t>
              </w:r>
              <w:r>
                <w:fldChar w:fldCharType="end"/>
              </w:r>
              <w:r>
                <w:rPr>
                  <w:highlight w:val="none"/>
                </w:rPr>
                <w:fldChar w:fldCharType="end"/>
              </w:r>
            </w:p>
            <w:p>
              <w:pPr>
                <w:pStyle w:val="13"/>
                <w:tabs>
                  <w:tab w:val="right" w:leader="dot" w:pos="9683"/>
                </w:tabs>
              </w:pPr>
              <w:r>
                <w:rPr>
                  <w:highlight w:val="none"/>
                </w:rPr>
                <w:fldChar w:fldCharType="begin"/>
              </w:r>
              <w:r>
                <w:rPr>
                  <w:highlight w:val="none"/>
                </w:rPr>
                <w:instrText xml:space="preserve"> HYPERLINK \l _Toc19107 </w:instrText>
              </w:r>
              <w:r>
                <w:rPr>
                  <w:highlight w:val="none"/>
                </w:rPr>
                <w:fldChar w:fldCharType="separate"/>
              </w:r>
              <w:r>
                <w:rPr>
                  <w:rFonts w:hint="default" w:ascii="Times New Roman" w:hAnsi="Times New Roman" w:eastAsia="Times New Roman" w:cs="Times New Roman"/>
                  <w:w w:val="100"/>
                  <w:szCs w:val="28"/>
                  <w:lang w:val="zh-CN" w:eastAsia="zh-CN" w:bidi="zh-CN"/>
                </w:rPr>
                <w:t xml:space="preserve">3.2 </w:t>
              </w:r>
              <w:r>
                <w:rPr>
                  <w:highlight w:val="none"/>
                </w:rPr>
                <w:t>详细评审</w:t>
              </w:r>
              <w:r>
                <w:tab/>
              </w:r>
              <w:r>
                <w:fldChar w:fldCharType="begin"/>
              </w:r>
              <w:r>
                <w:instrText xml:space="preserve"> PAGEREF _Toc19107 \h </w:instrText>
              </w:r>
              <w:r>
                <w:fldChar w:fldCharType="separate"/>
              </w:r>
              <w:r>
                <w:t>39</w:t>
              </w:r>
              <w:r>
                <w:fldChar w:fldCharType="end"/>
              </w:r>
              <w:r>
                <w:rPr>
                  <w:highlight w:val="none"/>
                </w:rPr>
                <w:fldChar w:fldCharType="end"/>
              </w:r>
            </w:p>
            <w:p>
              <w:pPr>
                <w:pStyle w:val="13"/>
                <w:tabs>
                  <w:tab w:val="right" w:leader="dot" w:pos="9683"/>
                </w:tabs>
              </w:pPr>
              <w:r>
                <w:rPr>
                  <w:highlight w:val="none"/>
                </w:rPr>
                <w:fldChar w:fldCharType="begin"/>
              </w:r>
              <w:r>
                <w:rPr>
                  <w:highlight w:val="none"/>
                </w:rPr>
                <w:instrText xml:space="preserve"> HYPERLINK \l _Toc27670 </w:instrText>
              </w:r>
              <w:r>
                <w:rPr>
                  <w:highlight w:val="none"/>
                </w:rPr>
                <w:fldChar w:fldCharType="separate"/>
              </w:r>
              <w:r>
                <w:rPr>
                  <w:rFonts w:hint="default" w:ascii="Times New Roman" w:hAnsi="Times New Roman" w:eastAsia="Times New Roman" w:cs="Times New Roman"/>
                  <w:w w:val="100"/>
                  <w:szCs w:val="28"/>
                  <w:lang w:val="zh-CN" w:eastAsia="zh-CN" w:bidi="zh-CN"/>
                </w:rPr>
                <w:t xml:space="preserve">3.3 </w:t>
              </w:r>
              <w:r>
                <w:rPr>
                  <w:spacing w:val="-1"/>
                  <w:highlight w:val="none"/>
                </w:rPr>
                <w:t>投标文件的澄清</w:t>
              </w:r>
              <w:r>
                <w:tab/>
              </w:r>
              <w:r>
                <w:fldChar w:fldCharType="begin"/>
              </w:r>
              <w:r>
                <w:instrText xml:space="preserve"> PAGEREF _Toc27670 \h </w:instrText>
              </w:r>
              <w:r>
                <w:fldChar w:fldCharType="separate"/>
              </w:r>
              <w:r>
                <w:t>39</w:t>
              </w:r>
              <w:r>
                <w:fldChar w:fldCharType="end"/>
              </w:r>
              <w:r>
                <w:rPr>
                  <w:highlight w:val="none"/>
                </w:rPr>
                <w:fldChar w:fldCharType="end"/>
              </w:r>
            </w:p>
            <w:p>
              <w:pPr>
                <w:pStyle w:val="13"/>
                <w:tabs>
                  <w:tab w:val="right" w:leader="dot" w:pos="9683"/>
                </w:tabs>
              </w:pPr>
              <w:r>
                <w:rPr>
                  <w:highlight w:val="none"/>
                </w:rPr>
                <w:fldChar w:fldCharType="begin"/>
              </w:r>
              <w:r>
                <w:rPr>
                  <w:highlight w:val="none"/>
                </w:rPr>
                <w:instrText xml:space="preserve"> HYPERLINK \l _Toc7547 </w:instrText>
              </w:r>
              <w:r>
                <w:rPr>
                  <w:highlight w:val="none"/>
                </w:rPr>
                <w:fldChar w:fldCharType="separate"/>
              </w:r>
              <w:r>
                <w:rPr>
                  <w:rFonts w:hint="default" w:ascii="Times New Roman" w:hAnsi="Times New Roman" w:eastAsia="Times New Roman" w:cs="Times New Roman"/>
                  <w:w w:val="100"/>
                  <w:szCs w:val="28"/>
                  <w:lang w:val="zh-CN" w:eastAsia="zh-CN" w:bidi="zh-CN"/>
                </w:rPr>
                <w:t xml:space="preserve">3.4 </w:t>
              </w:r>
              <w:r>
                <w:rPr>
                  <w:highlight w:val="none"/>
                </w:rPr>
                <w:t>评标结果</w:t>
              </w:r>
              <w:r>
                <w:tab/>
              </w:r>
              <w:r>
                <w:fldChar w:fldCharType="begin"/>
              </w:r>
              <w:r>
                <w:instrText xml:space="preserve"> PAGEREF _Toc7547 \h </w:instrText>
              </w:r>
              <w:r>
                <w:fldChar w:fldCharType="separate"/>
              </w:r>
              <w:r>
                <w:t>39</w:t>
              </w:r>
              <w:r>
                <w:fldChar w:fldCharType="end"/>
              </w:r>
              <w:r>
                <w:rPr>
                  <w:highlight w:val="none"/>
                </w:rPr>
                <w:fldChar w:fldCharType="end"/>
              </w:r>
            </w:p>
            <w:p>
              <w:pPr>
                <w:pStyle w:val="17"/>
                <w:tabs>
                  <w:tab w:val="right" w:leader="dot" w:pos="9683"/>
                </w:tabs>
              </w:pPr>
              <w:r>
                <w:rPr>
                  <w:highlight w:val="none"/>
                </w:rPr>
                <w:fldChar w:fldCharType="begin"/>
              </w:r>
              <w:r>
                <w:rPr>
                  <w:highlight w:val="none"/>
                </w:rPr>
                <w:instrText xml:space="preserve"> HYPERLINK \l _Toc22404 </w:instrText>
              </w:r>
              <w:r>
                <w:rPr>
                  <w:highlight w:val="none"/>
                </w:rPr>
                <w:fldChar w:fldCharType="separate"/>
              </w:r>
              <w:r>
                <w:rPr>
                  <w:rFonts w:hint="eastAsia" w:ascii="宋体" w:hAnsi="宋体" w:eastAsia="宋体" w:cs="宋体"/>
                  <w:highlight w:val="none"/>
                </w:rPr>
                <w:t>第四章合同条款及格式</w:t>
              </w:r>
              <w:r>
                <w:tab/>
              </w:r>
              <w:r>
                <w:fldChar w:fldCharType="begin"/>
              </w:r>
              <w:r>
                <w:instrText xml:space="preserve"> PAGEREF _Toc22404 \h </w:instrText>
              </w:r>
              <w:r>
                <w:fldChar w:fldCharType="separate"/>
              </w:r>
              <w:r>
                <w:t>40</w:t>
              </w:r>
              <w:r>
                <w:fldChar w:fldCharType="end"/>
              </w:r>
              <w:r>
                <w:rPr>
                  <w:highlight w:val="none"/>
                </w:rPr>
                <w:fldChar w:fldCharType="end"/>
              </w:r>
            </w:p>
            <w:p>
              <w:pPr>
                <w:pStyle w:val="13"/>
                <w:tabs>
                  <w:tab w:val="right" w:leader="dot" w:pos="9683"/>
                </w:tabs>
              </w:pPr>
              <w:r>
                <w:rPr>
                  <w:highlight w:val="none"/>
                </w:rPr>
                <w:fldChar w:fldCharType="begin"/>
              </w:r>
              <w:r>
                <w:rPr>
                  <w:highlight w:val="none"/>
                </w:rPr>
                <w:instrText xml:space="preserve"> HYPERLINK \l _Toc20589 </w:instrText>
              </w:r>
              <w:r>
                <w:rPr>
                  <w:highlight w:val="none"/>
                </w:rPr>
                <w:fldChar w:fldCharType="separate"/>
              </w:r>
              <w:r>
                <w:rPr>
                  <w:highlight w:val="none"/>
                </w:rPr>
                <w:t>附件一：合同协议书</w:t>
              </w:r>
              <w:r>
                <w:tab/>
              </w:r>
              <w:r>
                <w:fldChar w:fldCharType="begin"/>
              </w:r>
              <w:r>
                <w:instrText xml:space="preserve"> PAGEREF _Toc20589 \h </w:instrText>
              </w:r>
              <w:r>
                <w:fldChar w:fldCharType="separate"/>
              </w:r>
              <w:r>
                <w:t>51</w:t>
              </w:r>
              <w:r>
                <w:fldChar w:fldCharType="end"/>
              </w:r>
              <w:r>
                <w:rPr>
                  <w:highlight w:val="none"/>
                </w:rPr>
                <w:fldChar w:fldCharType="end"/>
              </w:r>
            </w:p>
            <w:p>
              <w:pPr>
                <w:pStyle w:val="13"/>
                <w:tabs>
                  <w:tab w:val="right" w:leader="dot" w:pos="9683"/>
                </w:tabs>
              </w:pPr>
              <w:r>
                <w:rPr>
                  <w:highlight w:val="none"/>
                </w:rPr>
                <w:fldChar w:fldCharType="begin"/>
              </w:r>
              <w:r>
                <w:rPr>
                  <w:highlight w:val="none"/>
                </w:rPr>
                <w:instrText xml:space="preserve"> HYPERLINK \l _Toc31633 </w:instrText>
              </w:r>
              <w:r>
                <w:rPr>
                  <w:highlight w:val="none"/>
                </w:rPr>
                <w:fldChar w:fldCharType="separate"/>
              </w:r>
              <w:r>
                <w:rPr>
                  <w:rFonts w:hint="eastAsia" w:ascii="Times New Roman" w:hAnsi="Times New Roman"/>
                  <w:highlight w:val="none"/>
                  <w:lang w:val="en-US" w:eastAsia="zh-CN"/>
                </w:rPr>
                <w:t>附件二：廉政协议书</w:t>
              </w:r>
              <w:r>
                <w:tab/>
              </w:r>
              <w:r>
                <w:fldChar w:fldCharType="begin"/>
              </w:r>
              <w:r>
                <w:instrText xml:space="preserve"> PAGEREF _Toc31633 \h </w:instrText>
              </w:r>
              <w:r>
                <w:fldChar w:fldCharType="separate"/>
              </w:r>
              <w:r>
                <w:t>53</w:t>
              </w:r>
              <w:r>
                <w:fldChar w:fldCharType="end"/>
              </w:r>
              <w:r>
                <w:rPr>
                  <w:highlight w:val="none"/>
                </w:rPr>
                <w:fldChar w:fldCharType="end"/>
              </w:r>
            </w:p>
            <w:p>
              <w:pPr>
                <w:pStyle w:val="18"/>
                <w:tabs>
                  <w:tab w:val="right" w:leader="dot" w:pos="9683"/>
                </w:tabs>
              </w:pPr>
              <w:r>
                <w:rPr>
                  <w:highlight w:val="none"/>
                </w:rPr>
                <w:fldChar w:fldCharType="begin"/>
              </w:r>
              <w:r>
                <w:rPr>
                  <w:highlight w:val="none"/>
                </w:rPr>
                <w:instrText xml:space="preserve"> HYPERLINK \l _Toc22460 </w:instrText>
              </w:r>
              <w:r>
                <w:rPr>
                  <w:highlight w:val="none"/>
                </w:rPr>
                <w:fldChar w:fldCharType="separate"/>
              </w:r>
              <w:r>
                <w:rPr>
                  <w:rFonts w:hint="eastAsia" w:ascii="Times New Roman" w:hAnsi="Times New Roman" w:eastAsia="宋体" w:cs="宋体"/>
                  <w:bCs w:val="0"/>
                  <w:szCs w:val="28"/>
                  <w:highlight w:val="none"/>
                  <w:lang w:val="en-US" w:eastAsia="zh-CN" w:bidi="zh-CN"/>
                </w:rPr>
                <w:t>附件三：物流服务安全责任协议书</w:t>
              </w:r>
              <w:r>
                <w:tab/>
              </w:r>
              <w:r>
                <w:fldChar w:fldCharType="begin"/>
              </w:r>
              <w:r>
                <w:instrText xml:space="preserve"> PAGEREF _Toc22460 \h </w:instrText>
              </w:r>
              <w:r>
                <w:fldChar w:fldCharType="separate"/>
              </w:r>
              <w:r>
                <w:t>55</w:t>
              </w:r>
              <w:r>
                <w:fldChar w:fldCharType="end"/>
              </w:r>
              <w:r>
                <w:rPr>
                  <w:highlight w:val="none"/>
                </w:rPr>
                <w:fldChar w:fldCharType="end"/>
              </w:r>
            </w:p>
            <w:p>
              <w:pPr>
                <w:pStyle w:val="17"/>
                <w:tabs>
                  <w:tab w:val="right" w:leader="dot" w:pos="9683"/>
                </w:tabs>
              </w:pPr>
              <w:r>
                <w:rPr>
                  <w:highlight w:val="none"/>
                </w:rPr>
                <w:fldChar w:fldCharType="begin"/>
              </w:r>
              <w:r>
                <w:rPr>
                  <w:highlight w:val="none"/>
                </w:rPr>
                <w:instrText xml:space="preserve"> HYPERLINK \l _Toc3303 </w:instrText>
              </w:r>
              <w:r>
                <w:rPr>
                  <w:highlight w:val="none"/>
                </w:rPr>
                <w:fldChar w:fldCharType="separate"/>
              </w:r>
              <w:r>
                <w:rPr>
                  <w:rFonts w:hint="eastAsia"/>
                </w:rPr>
                <w:t xml:space="preserve">第五章 </w:t>
              </w:r>
              <w:r>
                <w:rPr>
                  <w:rFonts w:hint="eastAsia"/>
                  <w:highlight w:val="none"/>
                </w:rPr>
                <w:t>技术标准和要求</w:t>
              </w:r>
              <w:r>
                <w:tab/>
              </w:r>
              <w:r>
                <w:fldChar w:fldCharType="begin"/>
              </w:r>
              <w:r>
                <w:instrText xml:space="preserve"> PAGEREF _Toc3303 \h </w:instrText>
              </w:r>
              <w:r>
                <w:fldChar w:fldCharType="separate"/>
              </w:r>
              <w:r>
                <w:t>58</w:t>
              </w:r>
              <w:r>
                <w:fldChar w:fldCharType="end"/>
              </w:r>
              <w:r>
                <w:rPr>
                  <w:highlight w:val="none"/>
                </w:rPr>
                <w:fldChar w:fldCharType="end"/>
              </w:r>
            </w:p>
            <w:p>
              <w:pPr>
                <w:pStyle w:val="17"/>
                <w:tabs>
                  <w:tab w:val="right" w:leader="dot" w:pos="9683"/>
                </w:tabs>
              </w:pPr>
              <w:r>
                <w:rPr>
                  <w:highlight w:val="none"/>
                </w:rPr>
                <w:fldChar w:fldCharType="begin"/>
              </w:r>
              <w:r>
                <w:rPr>
                  <w:highlight w:val="none"/>
                </w:rPr>
                <w:instrText xml:space="preserve"> HYPERLINK \l _Toc10508 </w:instrText>
              </w:r>
              <w:r>
                <w:rPr>
                  <w:highlight w:val="none"/>
                </w:rPr>
                <w:fldChar w:fldCharType="separate"/>
              </w:r>
              <w:r>
                <w:rPr>
                  <w:highlight w:val="none"/>
                </w:rPr>
                <w:t>第</w:t>
              </w:r>
              <w:r>
                <w:rPr>
                  <w:rFonts w:hint="eastAsia" w:eastAsia="宋体"/>
                  <w:highlight w:val="none"/>
                  <w:lang w:val="en-US"/>
                </w:rPr>
                <w:t>六</w:t>
              </w:r>
              <w:r>
                <w:rPr>
                  <w:highlight w:val="none"/>
                </w:rPr>
                <w:t>章</w:t>
              </w:r>
              <w:r>
                <w:rPr>
                  <w:rFonts w:hint="eastAsia" w:eastAsia="宋体"/>
                  <w:highlight w:val="none"/>
                  <w:lang w:val="en-US"/>
                </w:rPr>
                <w:t xml:space="preserve">  </w:t>
              </w:r>
              <w:r>
                <w:rPr>
                  <w:highlight w:val="none"/>
                </w:rPr>
                <w:t>投标文件格式</w:t>
              </w:r>
              <w:r>
                <w:tab/>
              </w:r>
              <w:r>
                <w:fldChar w:fldCharType="begin"/>
              </w:r>
              <w:r>
                <w:instrText xml:space="preserve"> PAGEREF _Toc10508 \h </w:instrText>
              </w:r>
              <w:r>
                <w:fldChar w:fldCharType="separate"/>
              </w:r>
              <w:r>
                <w:t>59</w:t>
              </w:r>
              <w:r>
                <w:fldChar w:fldCharType="end"/>
              </w:r>
              <w:r>
                <w:rPr>
                  <w:highlight w:val="none"/>
                </w:rPr>
                <w:fldChar w:fldCharType="end"/>
              </w:r>
            </w:p>
            <w:p>
              <w:pPr>
                <w:pStyle w:val="18"/>
                <w:tabs>
                  <w:tab w:val="right" w:leader="dot" w:pos="9683"/>
                </w:tabs>
              </w:pPr>
              <w:r>
                <w:rPr>
                  <w:highlight w:val="none"/>
                </w:rPr>
                <w:fldChar w:fldCharType="begin"/>
              </w:r>
              <w:r>
                <w:rPr>
                  <w:highlight w:val="none"/>
                </w:rPr>
                <w:instrText xml:space="preserve"> HYPERLINK \l _Toc6048 </w:instrText>
              </w:r>
              <w:r>
                <w:rPr>
                  <w:highlight w:val="none"/>
                </w:rPr>
                <w:fldChar w:fldCharType="separate"/>
              </w:r>
              <w:r>
                <w:rPr>
                  <w:rFonts w:hint="eastAsia" w:eastAsia="宋体"/>
                  <w:szCs w:val="36"/>
                  <w:highlight w:val="none"/>
                  <w:lang w:val="en-US"/>
                </w:rPr>
                <w:t>第一信封</w:t>
              </w:r>
              <w:r>
                <w:tab/>
              </w:r>
              <w:r>
                <w:fldChar w:fldCharType="begin"/>
              </w:r>
              <w:r>
                <w:instrText xml:space="preserve"> PAGEREF _Toc6048 \h </w:instrText>
              </w:r>
              <w:r>
                <w:fldChar w:fldCharType="separate"/>
              </w:r>
              <w:r>
                <w:t>62</w:t>
              </w:r>
              <w:r>
                <w:fldChar w:fldCharType="end"/>
              </w:r>
              <w:r>
                <w:rPr>
                  <w:highlight w:val="none"/>
                </w:rPr>
                <w:fldChar w:fldCharType="end"/>
              </w:r>
            </w:p>
            <w:p>
              <w:pPr>
                <w:pStyle w:val="18"/>
                <w:tabs>
                  <w:tab w:val="right" w:leader="dot" w:pos="9683"/>
                </w:tabs>
              </w:pPr>
              <w:r>
                <w:rPr>
                  <w:highlight w:val="none"/>
                </w:rPr>
                <w:fldChar w:fldCharType="begin"/>
              </w:r>
              <w:r>
                <w:rPr>
                  <w:highlight w:val="none"/>
                </w:rPr>
                <w:instrText xml:space="preserve"> HYPERLINK \l _Toc24845 </w:instrText>
              </w:r>
              <w:r>
                <w:rPr>
                  <w:highlight w:val="none"/>
                </w:rPr>
                <w:fldChar w:fldCharType="separate"/>
              </w:r>
              <w:r>
                <w:rPr>
                  <w:rFonts w:ascii="Times New Roman" w:hAnsi="Times New Roman"/>
                  <w:highlight w:val="none"/>
                </w:rPr>
                <w:t>一、投标函</w:t>
              </w:r>
              <w:r>
                <w:tab/>
              </w:r>
              <w:r>
                <w:fldChar w:fldCharType="begin"/>
              </w:r>
              <w:r>
                <w:instrText xml:space="preserve"> PAGEREF _Toc24845 \h </w:instrText>
              </w:r>
              <w:r>
                <w:fldChar w:fldCharType="separate"/>
              </w:r>
              <w:r>
                <w:t>63</w:t>
              </w:r>
              <w:r>
                <w:fldChar w:fldCharType="end"/>
              </w:r>
              <w:r>
                <w:rPr>
                  <w:highlight w:val="none"/>
                </w:rPr>
                <w:fldChar w:fldCharType="end"/>
              </w:r>
            </w:p>
            <w:p>
              <w:pPr>
                <w:pStyle w:val="18"/>
                <w:tabs>
                  <w:tab w:val="right" w:leader="dot" w:pos="9683"/>
                </w:tabs>
              </w:pPr>
              <w:r>
                <w:rPr>
                  <w:highlight w:val="none"/>
                </w:rPr>
                <w:fldChar w:fldCharType="begin"/>
              </w:r>
              <w:r>
                <w:rPr>
                  <w:highlight w:val="none"/>
                </w:rPr>
                <w:instrText xml:space="preserve"> HYPERLINK \l _Toc27319 </w:instrText>
              </w:r>
              <w:r>
                <w:rPr>
                  <w:highlight w:val="none"/>
                </w:rPr>
                <w:fldChar w:fldCharType="separate"/>
              </w:r>
              <w:r>
                <w:rPr>
                  <w:rFonts w:hint="eastAsia" w:eastAsia="宋体"/>
                  <w:highlight w:val="none"/>
                  <w:lang w:val="en-US"/>
                </w:rPr>
                <w:t>二</w:t>
              </w:r>
              <w:r>
                <w:rPr>
                  <w:highlight w:val="none"/>
                </w:rPr>
                <w:t>、法定代表人（单位负责人）身份证明</w:t>
              </w:r>
              <w:r>
                <w:tab/>
              </w:r>
              <w:r>
                <w:fldChar w:fldCharType="begin"/>
              </w:r>
              <w:r>
                <w:instrText xml:space="preserve"> PAGEREF _Toc27319 \h </w:instrText>
              </w:r>
              <w:r>
                <w:fldChar w:fldCharType="separate"/>
              </w:r>
              <w:r>
                <w:t>64</w:t>
              </w:r>
              <w:r>
                <w:fldChar w:fldCharType="end"/>
              </w:r>
              <w:r>
                <w:rPr>
                  <w:highlight w:val="none"/>
                </w:rPr>
                <w:fldChar w:fldCharType="end"/>
              </w:r>
            </w:p>
            <w:p>
              <w:pPr>
                <w:pStyle w:val="18"/>
                <w:tabs>
                  <w:tab w:val="right" w:leader="dot" w:pos="9683"/>
                </w:tabs>
              </w:pPr>
              <w:r>
                <w:rPr>
                  <w:highlight w:val="none"/>
                </w:rPr>
                <w:fldChar w:fldCharType="begin"/>
              </w:r>
              <w:r>
                <w:rPr>
                  <w:highlight w:val="none"/>
                </w:rPr>
                <w:instrText xml:space="preserve"> HYPERLINK \l _Toc27543 </w:instrText>
              </w:r>
              <w:r>
                <w:rPr>
                  <w:highlight w:val="none"/>
                </w:rPr>
                <w:fldChar w:fldCharType="separate"/>
              </w:r>
              <w:r>
                <w:rPr>
                  <w:rFonts w:hint="eastAsia" w:eastAsia="宋体"/>
                  <w:highlight w:val="none"/>
                </w:rPr>
                <w:t>二</w:t>
              </w:r>
              <w:r>
                <w:rPr>
                  <w:highlight w:val="none"/>
                </w:rPr>
                <w:t>、授权委托书</w:t>
              </w:r>
              <w:r>
                <w:tab/>
              </w:r>
              <w:r>
                <w:fldChar w:fldCharType="begin"/>
              </w:r>
              <w:r>
                <w:instrText xml:space="preserve"> PAGEREF _Toc27543 \h </w:instrText>
              </w:r>
              <w:r>
                <w:fldChar w:fldCharType="separate"/>
              </w:r>
              <w:r>
                <w:t>65</w:t>
              </w:r>
              <w:r>
                <w:fldChar w:fldCharType="end"/>
              </w:r>
              <w:r>
                <w:rPr>
                  <w:highlight w:val="none"/>
                </w:rPr>
                <w:fldChar w:fldCharType="end"/>
              </w:r>
            </w:p>
            <w:p>
              <w:pPr>
                <w:pStyle w:val="18"/>
                <w:tabs>
                  <w:tab w:val="right" w:leader="dot" w:pos="9683"/>
                </w:tabs>
              </w:pPr>
              <w:r>
                <w:rPr>
                  <w:highlight w:val="none"/>
                </w:rPr>
                <w:fldChar w:fldCharType="begin"/>
              </w:r>
              <w:r>
                <w:rPr>
                  <w:highlight w:val="none"/>
                </w:rPr>
                <w:instrText xml:space="preserve"> HYPERLINK \l _Toc24650 </w:instrText>
              </w:r>
              <w:r>
                <w:rPr>
                  <w:highlight w:val="none"/>
                </w:rPr>
                <w:fldChar w:fldCharType="separate"/>
              </w:r>
              <w:r>
                <w:rPr>
                  <w:rFonts w:hint="eastAsia" w:eastAsia="宋体"/>
                  <w:highlight w:val="none"/>
                </w:rPr>
                <w:t>三</w:t>
              </w:r>
              <w:r>
                <w:rPr>
                  <w:highlight w:val="none"/>
                </w:rPr>
                <w:t>、</w:t>
              </w:r>
              <w:r>
                <w:rPr>
                  <w:rFonts w:hint="eastAsia" w:eastAsia="宋体"/>
                  <w:highlight w:val="none"/>
                  <w:lang w:val="en-US"/>
                </w:rPr>
                <w:t>投标保证金</w:t>
              </w:r>
              <w:r>
                <w:tab/>
              </w:r>
              <w:r>
                <w:fldChar w:fldCharType="begin"/>
              </w:r>
              <w:r>
                <w:instrText xml:space="preserve"> PAGEREF _Toc24650 \h </w:instrText>
              </w:r>
              <w:r>
                <w:fldChar w:fldCharType="separate"/>
              </w:r>
              <w:r>
                <w:t>66</w:t>
              </w:r>
              <w:r>
                <w:fldChar w:fldCharType="end"/>
              </w:r>
              <w:r>
                <w:rPr>
                  <w:highlight w:val="none"/>
                </w:rPr>
                <w:fldChar w:fldCharType="end"/>
              </w:r>
            </w:p>
            <w:p>
              <w:pPr>
                <w:pStyle w:val="18"/>
                <w:tabs>
                  <w:tab w:val="right" w:leader="dot" w:pos="9683"/>
                </w:tabs>
              </w:pPr>
              <w:r>
                <w:rPr>
                  <w:highlight w:val="none"/>
                </w:rPr>
                <w:fldChar w:fldCharType="begin"/>
              </w:r>
              <w:r>
                <w:rPr>
                  <w:highlight w:val="none"/>
                </w:rPr>
                <w:instrText xml:space="preserve"> HYPERLINK \l _Toc26989 </w:instrText>
              </w:r>
              <w:r>
                <w:rPr>
                  <w:highlight w:val="none"/>
                </w:rPr>
                <w:fldChar w:fldCharType="separate"/>
              </w:r>
              <w:r>
                <w:rPr>
                  <w:rFonts w:hint="eastAsia" w:eastAsia="宋体"/>
                  <w:highlight w:val="none"/>
                </w:rPr>
                <w:t>四</w:t>
              </w:r>
              <w:r>
                <w:rPr>
                  <w:highlight w:val="none"/>
                </w:rPr>
                <w:t>、商务和技术偏差表</w:t>
              </w:r>
              <w:r>
                <w:tab/>
              </w:r>
              <w:r>
                <w:fldChar w:fldCharType="begin"/>
              </w:r>
              <w:r>
                <w:instrText xml:space="preserve"> PAGEREF _Toc26989 \h </w:instrText>
              </w:r>
              <w:r>
                <w:fldChar w:fldCharType="separate"/>
              </w:r>
              <w:r>
                <w:t>67</w:t>
              </w:r>
              <w:r>
                <w:fldChar w:fldCharType="end"/>
              </w:r>
              <w:r>
                <w:rPr>
                  <w:highlight w:val="none"/>
                </w:rPr>
                <w:fldChar w:fldCharType="end"/>
              </w:r>
            </w:p>
            <w:p>
              <w:pPr>
                <w:pStyle w:val="18"/>
                <w:tabs>
                  <w:tab w:val="right" w:leader="dot" w:pos="9683"/>
                </w:tabs>
              </w:pPr>
              <w:r>
                <w:rPr>
                  <w:highlight w:val="none"/>
                </w:rPr>
                <w:fldChar w:fldCharType="begin"/>
              </w:r>
              <w:r>
                <w:rPr>
                  <w:highlight w:val="none"/>
                </w:rPr>
                <w:instrText xml:space="preserve"> HYPERLINK \l _Toc28864 </w:instrText>
              </w:r>
              <w:r>
                <w:rPr>
                  <w:highlight w:val="none"/>
                </w:rPr>
                <w:fldChar w:fldCharType="separate"/>
              </w:r>
              <w:r>
                <w:rPr>
                  <w:rFonts w:hint="eastAsia" w:eastAsia="宋体"/>
                  <w:highlight w:val="none"/>
                </w:rPr>
                <w:t>五</w:t>
              </w:r>
              <w:r>
                <w:rPr>
                  <w:highlight w:val="none"/>
                </w:rPr>
                <w:t>、资格审查资料</w:t>
              </w:r>
              <w:r>
                <w:tab/>
              </w:r>
              <w:r>
                <w:fldChar w:fldCharType="begin"/>
              </w:r>
              <w:r>
                <w:instrText xml:space="preserve"> PAGEREF _Toc28864 \h </w:instrText>
              </w:r>
              <w:r>
                <w:fldChar w:fldCharType="separate"/>
              </w:r>
              <w:r>
                <w:t>68</w:t>
              </w:r>
              <w:r>
                <w:fldChar w:fldCharType="end"/>
              </w:r>
              <w:r>
                <w:rPr>
                  <w:highlight w:val="none"/>
                </w:rPr>
                <w:fldChar w:fldCharType="end"/>
              </w:r>
            </w:p>
            <w:p>
              <w:pPr>
                <w:pStyle w:val="13"/>
                <w:tabs>
                  <w:tab w:val="right" w:leader="dot" w:pos="9683"/>
                </w:tabs>
              </w:pPr>
              <w:r>
                <w:rPr>
                  <w:highlight w:val="none"/>
                </w:rPr>
                <w:fldChar w:fldCharType="begin"/>
              </w:r>
              <w:r>
                <w:rPr>
                  <w:highlight w:val="none"/>
                </w:rPr>
                <w:instrText xml:space="preserve"> HYPERLINK \l _Toc10559 </w:instrText>
              </w:r>
              <w:r>
                <w:rPr>
                  <w:highlight w:val="none"/>
                </w:rPr>
                <w:fldChar w:fldCharType="separate"/>
              </w:r>
              <w:r>
                <w:rPr>
                  <w:highlight w:val="none"/>
                </w:rPr>
                <w:t>（一）基本情况表</w:t>
              </w:r>
              <w:r>
                <w:tab/>
              </w:r>
              <w:r>
                <w:fldChar w:fldCharType="begin"/>
              </w:r>
              <w:r>
                <w:instrText xml:space="preserve"> PAGEREF _Toc10559 \h </w:instrText>
              </w:r>
              <w:r>
                <w:fldChar w:fldCharType="separate"/>
              </w:r>
              <w:r>
                <w:t>68</w:t>
              </w:r>
              <w:r>
                <w:fldChar w:fldCharType="end"/>
              </w:r>
              <w:r>
                <w:rPr>
                  <w:highlight w:val="none"/>
                </w:rPr>
                <w:fldChar w:fldCharType="end"/>
              </w:r>
            </w:p>
            <w:p>
              <w:pPr>
                <w:pStyle w:val="13"/>
                <w:tabs>
                  <w:tab w:val="right" w:leader="dot" w:pos="9683"/>
                </w:tabs>
              </w:pPr>
              <w:r>
                <w:rPr>
                  <w:highlight w:val="none"/>
                </w:rPr>
                <w:fldChar w:fldCharType="begin"/>
              </w:r>
              <w:r>
                <w:rPr>
                  <w:highlight w:val="none"/>
                </w:rPr>
                <w:instrText xml:space="preserve"> HYPERLINK \l _Toc12367 </w:instrText>
              </w:r>
              <w:r>
                <w:rPr>
                  <w:highlight w:val="none"/>
                </w:rPr>
                <w:fldChar w:fldCharType="separate"/>
              </w:r>
              <w:r>
                <w:rPr>
                  <w:rFonts w:hint="eastAsia"/>
                  <w:highlight w:val="none"/>
                </w:rPr>
                <w:t>（</w:t>
              </w:r>
              <w:r>
                <w:rPr>
                  <w:highlight w:val="none"/>
                </w:rPr>
                <w:t>二）</w:t>
              </w:r>
              <w:r>
                <w:rPr>
                  <w:rFonts w:hint="eastAsia"/>
                  <w:highlight w:val="none"/>
                  <w:lang w:val="en-US"/>
                </w:rPr>
                <w:t>2</w:t>
              </w:r>
              <w:r>
                <w:rPr>
                  <w:rFonts w:hint="eastAsia"/>
                  <w:highlight w:val="none"/>
                  <w:lang w:val="en-US" w:eastAsia="zh-CN"/>
                </w:rPr>
                <w:t>020</w:t>
              </w:r>
              <w:r>
                <w:rPr>
                  <w:rFonts w:hint="eastAsia"/>
                  <w:highlight w:val="none"/>
                  <w:lang w:val="en-US"/>
                </w:rPr>
                <w:t>年</w:t>
              </w:r>
              <w:r>
                <w:rPr>
                  <w:highlight w:val="none"/>
                </w:rPr>
                <w:t>财务状况表</w:t>
              </w:r>
              <w:r>
                <w:tab/>
              </w:r>
              <w:r>
                <w:fldChar w:fldCharType="begin"/>
              </w:r>
              <w:r>
                <w:instrText xml:space="preserve"> PAGEREF _Toc12367 \h </w:instrText>
              </w:r>
              <w:r>
                <w:fldChar w:fldCharType="separate"/>
              </w:r>
              <w:r>
                <w:t>70</w:t>
              </w:r>
              <w:r>
                <w:fldChar w:fldCharType="end"/>
              </w:r>
              <w:r>
                <w:rPr>
                  <w:highlight w:val="none"/>
                </w:rPr>
                <w:fldChar w:fldCharType="end"/>
              </w:r>
            </w:p>
            <w:p>
              <w:pPr>
                <w:pStyle w:val="13"/>
                <w:tabs>
                  <w:tab w:val="right" w:leader="dot" w:pos="9683"/>
                </w:tabs>
              </w:pPr>
              <w:r>
                <w:rPr>
                  <w:highlight w:val="none"/>
                </w:rPr>
                <w:fldChar w:fldCharType="begin"/>
              </w:r>
              <w:r>
                <w:rPr>
                  <w:highlight w:val="none"/>
                </w:rPr>
                <w:instrText xml:space="preserve"> HYPERLINK \l _Toc30120 </w:instrText>
              </w:r>
              <w:r>
                <w:rPr>
                  <w:highlight w:val="none"/>
                </w:rPr>
                <w:fldChar w:fldCharType="separate"/>
              </w:r>
              <w:r>
                <w:rPr>
                  <w:highlight w:val="none"/>
                </w:rPr>
                <w:t>（三）近年完成的类似项目情况表</w:t>
              </w:r>
              <w:r>
                <w:tab/>
              </w:r>
              <w:r>
                <w:fldChar w:fldCharType="begin"/>
              </w:r>
              <w:r>
                <w:instrText xml:space="preserve"> PAGEREF _Toc30120 \h </w:instrText>
              </w:r>
              <w:r>
                <w:fldChar w:fldCharType="separate"/>
              </w:r>
              <w:r>
                <w:t>71</w:t>
              </w:r>
              <w:r>
                <w:fldChar w:fldCharType="end"/>
              </w:r>
              <w:r>
                <w:rPr>
                  <w:highlight w:val="none"/>
                </w:rPr>
                <w:fldChar w:fldCharType="end"/>
              </w:r>
            </w:p>
            <w:p>
              <w:pPr>
                <w:pStyle w:val="13"/>
                <w:tabs>
                  <w:tab w:val="right" w:leader="dot" w:pos="9683"/>
                </w:tabs>
              </w:pPr>
              <w:r>
                <w:rPr>
                  <w:highlight w:val="none"/>
                </w:rPr>
                <w:fldChar w:fldCharType="begin"/>
              </w:r>
              <w:r>
                <w:rPr>
                  <w:highlight w:val="none"/>
                </w:rPr>
                <w:instrText xml:space="preserve"> HYPERLINK \l _Toc4466 </w:instrText>
              </w:r>
              <w:r>
                <w:rPr>
                  <w:highlight w:val="none"/>
                </w:rPr>
                <w:fldChar w:fldCharType="separate"/>
              </w:r>
              <w:r>
                <w:rPr>
                  <w:rFonts w:ascii="Times New Roman" w:hAnsi="Times New Roman"/>
                  <w:highlight w:val="none"/>
                </w:rPr>
                <w:t>（</w:t>
              </w:r>
              <w:r>
                <w:rPr>
                  <w:rFonts w:hint="eastAsia" w:ascii="Times New Roman" w:hAnsi="Times New Roman"/>
                  <w:highlight w:val="none"/>
                </w:rPr>
                <w:t>四</w:t>
              </w:r>
              <w:r>
                <w:rPr>
                  <w:rFonts w:ascii="Times New Roman" w:hAnsi="Times New Roman"/>
                  <w:highlight w:val="none"/>
                </w:rPr>
                <w:t>）</w:t>
              </w:r>
              <w:r>
                <w:rPr>
                  <w:rFonts w:hint="eastAsia" w:ascii="Times New Roman" w:hAnsi="Times New Roman"/>
                  <w:highlight w:val="none"/>
                </w:rPr>
                <w:t>信用情况</w:t>
              </w:r>
              <w:r>
                <w:tab/>
              </w:r>
              <w:r>
                <w:fldChar w:fldCharType="begin"/>
              </w:r>
              <w:r>
                <w:instrText xml:space="preserve"> PAGEREF _Toc4466 \h </w:instrText>
              </w:r>
              <w:r>
                <w:fldChar w:fldCharType="separate"/>
              </w:r>
              <w:r>
                <w:t>72</w:t>
              </w:r>
              <w:r>
                <w:fldChar w:fldCharType="end"/>
              </w:r>
              <w:r>
                <w:rPr>
                  <w:highlight w:val="none"/>
                </w:rPr>
                <w:fldChar w:fldCharType="end"/>
              </w:r>
            </w:p>
            <w:p>
              <w:pPr>
                <w:pStyle w:val="18"/>
                <w:tabs>
                  <w:tab w:val="right" w:leader="dot" w:pos="9683"/>
                </w:tabs>
              </w:pPr>
              <w:r>
                <w:rPr>
                  <w:highlight w:val="none"/>
                </w:rPr>
                <w:fldChar w:fldCharType="begin"/>
              </w:r>
              <w:r>
                <w:rPr>
                  <w:highlight w:val="none"/>
                </w:rPr>
                <w:instrText xml:space="preserve"> HYPERLINK \l _Toc18493 </w:instrText>
              </w:r>
              <w:r>
                <w:rPr>
                  <w:highlight w:val="none"/>
                </w:rPr>
                <w:fldChar w:fldCharType="separate"/>
              </w:r>
              <w:r>
                <w:rPr>
                  <w:rFonts w:hint="eastAsia" w:ascii="宋体" w:hAnsi="宋体" w:eastAsia="宋体" w:cs="宋体"/>
                  <w:highlight w:val="none"/>
                </w:rPr>
                <w:t>六、</w:t>
              </w:r>
              <w:r>
                <w:rPr>
                  <w:rFonts w:hint="eastAsia" w:ascii="宋体" w:hAnsi="宋体" w:eastAsia="宋体" w:cs="宋体"/>
                  <w:highlight w:val="none"/>
                  <w:lang w:val="en-US"/>
                </w:rPr>
                <w:t>运输计划</w:t>
              </w:r>
              <w:r>
                <w:rPr>
                  <w:rFonts w:hint="eastAsia" w:ascii="宋体" w:hAnsi="宋体" w:eastAsia="宋体" w:cs="宋体"/>
                  <w:highlight w:val="none"/>
                </w:rPr>
                <w:t>方案</w:t>
              </w:r>
              <w:r>
                <w:tab/>
              </w:r>
              <w:r>
                <w:fldChar w:fldCharType="begin"/>
              </w:r>
              <w:r>
                <w:instrText xml:space="preserve"> PAGEREF _Toc18493 \h </w:instrText>
              </w:r>
              <w:r>
                <w:fldChar w:fldCharType="separate"/>
              </w:r>
              <w:r>
                <w:t>73</w:t>
              </w:r>
              <w:r>
                <w:fldChar w:fldCharType="end"/>
              </w:r>
              <w:r>
                <w:rPr>
                  <w:highlight w:val="none"/>
                </w:rPr>
                <w:fldChar w:fldCharType="end"/>
              </w:r>
            </w:p>
            <w:p>
              <w:pPr>
                <w:pStyle w:val="18"/>
                <w:tabs>
                  <w:tab w:val="right" w:leader="dot" w:pos="9683"/>
                </w:tabs>
              </w:pPr>
              <w:r>
                <w:rPr>
                  <w:highlight w:val="none"/>
                </w:rPr>
                <w:fldChar w:fldCharType="begin"/>
              </w:r>
              <w:r>
                <w:rPr>
                  <w:highlight w:val="none"/>
                </w:rPr>
                <w:instrText xml:space="preserve"> HYPERLINK \l _Toc23634 </w:instrText>
              </w:r>
              <w:r>
                <w:rPr>
                  <w:highlight w:val="none"/>
                </w:rPr>
                <w:fldChar w:fldCharType="separate"/>
              </w:r>
              <w:r>
                <w:rPr>
                  <w:rFonts w:hint="eastAsia" w:eastAsia="宋体"/>
                  <w:highlight w:val="none"/>
                  <w:lang w:val="en-US"/>
                </w:rPr>
                <w:t>七、承诺函</w:t>
              </w:r>
              <w:r>
                <w:tab/>
              </w:r>
              <w:r>
                <w:fldChar w:fldCharType="begin"/>
              </w:r>
              <w:r>
                <w:instrText xml:space="preserve"> PAGEREF _Toc23634 \h </w:instrText>
              </w:r>
              <w:r>
                <w:fldChar w:fldCharType="separate"/>
              </w:r>
              <w:r>
                <w:t>74</w:t>
              </w:r>
              <w:r>
                <w:fldChar w:fldCharType="end"/>
              </w:r>
              <w:r>
                <w:rPr>
                  <w:highlight w:val="none"/>
                </w:rPr>
                <w:fldChar w:fldCharType="end"/>
              </w:r>
            </w:p>
            <w:p>
              <w:pPr>
                <w:pStyle w:val="18"/>
                <w:tabs>
                  <w:tab w:val="right" w:leader="dot" w:pos="9683"/>
                </w:tabs>
              </w:pPr>
              <w:r>
                <w:rPr>
                  <w:highlight w:val="none"/>
                </w:rPr>
                <w:fldChar w:fldCharType="begin"/>
              </w:r>
              <w:r>
                <w:rPr>
                  <w:highlight w:val="none"/>
                </w:rPr>
                <w:instrText xml:space="preserve"> HYPERLINK \l _Toc12772 </w:instrText>
              </w:r>
              <w:r>
                <w:rPr>
                  <w:highlight w:val="none"/>
                </w:rPr>
                <w:fldChar w:fldCharType="separate"/>
              </w:r>
              <w:r>
                <w:rPr>
                  <w:rFonts w:hint="eastAsia" w:eastAsia="宋体"/>
                  <w:highlight w:val="none"/>
                </w:rPr>
                <w:t>八</w:t>
              </w:r>
              <w:r>
                <w:rPr>
                  <w:highlight w:val="none"/>
                </w:rPr>
                <w:t>、其他资料</w:t>
              </w:r>
              <w:r>
                <w:tab/>
              </w:r>
              <w:r>
                <w:fldChar w:fldCharType="begin"/>
              </w:r>
              <w:r>
                <w:instrText xml:space="preserve"> PAGEREF _Toc12772 \h </w:instrText>
              </w:r>
              <w:r>
                <w:fldChar w:fldCharType="separate"/>
              </w:r>
              <w:r>
                <w:t>75</w:t>
              </w:r>
              <w:r>
                <w:fldChar w:fldCharType="end"/>
              </w:r>
              <w:r>
                <w:rPr>
                  <w:highlight w:val="none"/>
                </w:rPr>
                <w:fldChar w:fldCharType="end"/>
              </w:r>
            </w:p>
            <w:p>
              <w:pPr>
                <w:pStyle w:val="18"/>
                <w:tabs>
                  <w:tab w:val="right" w:leader="dot" w:pos="9683"/>
                </w:tabs>
              </w:pPr>
              <w:r>
                <w:rPr>
                  <w:highlight w:val="none"/>
                </w:rPr>
                <w:fldChar w:fldCharType="begin"/>
              </w:r>
              <w:r>
                <w:rPr>
                  <w:highlight w:val="none"/>
                </w:rPr>
                <w:instrText xml:space="preserve"> HYPERLINK \l _Toc2605 </w:instrText>
              </w:r>
              <w:r>
                <w:rPr>
                  <w:highlight w:val="none"/>
                </w:rPr>
                <w:fldChar w:fldCharType="separate"/>
              </w:r>
              <w:r>
                <w:rPr>
                  <w:rFonts w:hint="eastAsia" w:eastAsia="宋体"/>
                  <w:szCs w:val="36"/>
                  <w:highlight w:val="none"/>
                  <w:lang w:val="en-US"/>
                </w:rPr>
                <w:t>第二信封</w:t>
              </w:r>
              <w:r>
                <w:tab/>
              </w:r>
              <w:r>
                <w:fldChar w:fldCharType="begin"/>
              </w:r>
              <w:r>
                <w:instrText xml:space="preserve"> PAGEREF _Toc2605 \h </w:instrText>
              </w:r>
              <w:r>
                <w:fldChar w:fldCharType="separate"/>
              </w:r>
              <w:r>
                <w:t>76</w:t>
              </w:r>
              <w:r>
                <w:fldChar w:fldCharType="end"/>
              </w:r>
              <w:r>
                <w:rPr>
                  <w:highlight w:val="none"/>
                </w:rPr>
                <w:fldChar w:fldCharType="end"/>
              </w:r>
            </w:p>
            <w:p>
              <w:pPr>
                <w:pStyle w:val="18"/>
                <w:tabs>
                  <w:tab w:val="right" w:leader="dot" w:pos="9683"/>
                </w:tabs>
              </w:pPr>
              <w:r>
                <w:rPr>
                  <w:highlight w:val="none"/>
                </w:rPr>
                <w:fldChar w:fldCharType="begin"/>
              </w:r>
              <w:r>
                <w:rPr>
                  <w:highlight w:val="none"/>
                </w:rPr>
                <w:instrText xml:space="preserve"> HYPERLINK \l _Toc2825 </w:instrText>
              </w:r>
              <w:r>
                <w:rPr>
                  <w:highlight w:val="none"/>
                </w:rPr>
                <w:fldChar w:fldCharType="separate"/>
              </w:r>
              <w:r>
                <w:rPr>
                  <w:rFonts w:hint="eastAsia"/>
                </w:rPr>
                <w:t xml:space="preserve">一、 </w:t>
              </w:r>
              <w:r>
                <w:rPr>
                  <w:rFonts w:hint="eastAsia" w:asciiTheme="minorEastAsia" w:hAnsiTheme="minorEastAsia" w:eastAsiaTheme="minorEastAsia" w:cstheme="minorEastAsia"/>
                  <w:highlight w:val="none"/>
                </w:rPr>
                <w:t>报价函</w:t>
              </w:r>
              <w:r>
                <w:tab/>
              </w:r>
              <w:r>
                <w:fldChar w:fldCharType="begin"/>
              </w:r>
              <w:r>
                <w:instrText xml:space="preserve"> PAGEREF _Toc2825 \h </w:instrText>
              </w:r>
              <w:r>
                <w:fldChar w:fldCharType="separate"/>
              </w:r>
              <w:r>
                <w:t>77</w:t>
              </w:r>
              <w:r>
                <w:fldChar w:fldCharType="end"/>
              </w:r>
              <w:r>
                <w:rPr>
                  <w:highlight w:val="none"/>
                </w:rPr>
                <w:fldChar w:fldCharType="end"/>
              </w:r>
            </w:p>
            <w:p>
              <w:pPr>
                <w:pStyle w:val="18"/>
                <w:tabs>
                  <w:tab w:val="right" w:leader="dot" w:pos="9683"/>
                </w:tabs>
              </w:pPr>
              <w:r>
                <w:rPr>
                  <w:highlight w:val="none"/>
                </w:rPr>
                <w:fldChar w:fldCharType="begin"/>
              </w:r>
              <w:r>
                <w:rPr>
                  <w:highlight w:val="none"/>
                </w:rPr>
                <w:instrText xml:space="preserve"> HYPERLINK \l _Toc27965 </w:instrText>
              </w:r>
              <w:r>
                <w:rPr>
                  <w:highlight w:val="none"/>
                </w:rPr>
                <w:fldChar w:fldCharType="separate"/>
              </w:r>
              <w:r>
                <w:rPr>
                  <w:rFonts w:hint="eastAsia" w:eastAsia="宋体"/>
                  <w:highlight w:val="none"/>
                  <w:lang w:val="en-US"/>
                </w:rPr>
                <w:t>二、</w:t>
              </w:r>
              <w:r>
                <w:rPr>
                  <w:highlight w:val="none"/>
                </w:rPr>
                <w:t>分项报价表</w:t>
              </w:r>
              <w:r>
                <w:tab/>
              </w:r>
              <w:r>
                <w:fldChar w:fldCharType="begin"/>
              </w:r>
              <w:r>
                <w:instrText xml:space="preserve"> PAGEREF _Toc27965 \h </w:instrText>
              </w:r>
              <w:r>
                <w:fldChar w:fldCharType="separate"/>
              </w:r>
              <w:r>
                <w:t>78</w:t>
              </w:r>
              <w:r>
                <w:fldChar w:fldCharType="end"/>
              </w:r>
              <w:r>
                <w:rPr>
                  <w:highlight w:val="none"/>
                </w:rPr>
                <w:fldChar w:fldCharType="end"/>
              </w:r>
            </w:p>
            <w:p>
              <w:pPr>
                <w:pStyle w:val="18"/>
                <w:tabs>
                  <w:tab w:val="right" w:leader="dot" w:pos="9034"/>
                </w:tabs>
                <w:spacing w:before="5" w:line="360" w:lineRule="auto"/>
                <w:ind w:left="820" w:firstLine="0"/>
                <w:rPr>
                  <w:highlight w:val="none"/>
                </w:rPr>
              </w:pPr>
              <w:r>
                <w:rPr>
                  <w:highlight w:val="none"/>
                </w:rPr>
                <w:fldChar w:fldCharType="end"/>
              </w:r>
            </w:p>
          </w:sdtContent>
        </w:sdt>
        <w:p>
          <w:pPr>
            <w:rPr>
              <w:highlight w:val="none"/>
            </w:rPr>
          </w:pPr>
          <w:bookmarkStart w:id="0" w:name="_Toc19189"/>
          <w:r>
            <w:rPr>
              <w:highlight w:val="none"/>
            </w:rPr>
            <w:br w:type="page"/>
          </w:r>
        </w:p>
      </w:sdtContent>
    </w:sdt>
    <w:bookmarkEnd w:id="0"/>
    <w:p>
      <w:pPr>
        <w:pStyle w:val="3"/>
        <w:jc w:val="center"/>
      </w:pPr>
      <w:bookmarkStart w:id="1" w:name="_bookmark1"/>
      <w:bookmarkEnd w:id="1"/>
      <w:bookmarkStart w:id="2" w:name="_bookmark0"/>
      <w:bookmarkEnd w:id="2"/>
      <w:bookmarkStart w:id="3" w:name="_Toc21357"/>
      <w:bookmarkStart w:id="4" w:name="_Toc18184"/>
      <w:r>
        <w:rPr>
          <w:rFonts w:hint="eastAsia"/>
          <w:highlight w:val="none"/>
        </w:rPr>
        <w:t>第一章招标公告</w:t>
      </w:r>
      <w:bookmarkEnd w:id="3"/>
      <w:bookmarkEnd w:id="4"/>
    </w:p>
    <w:p>
      <w:pPr>
        <w:autoSpaceDE/>
        <w:autoSpaceDN/>
        <w:jc w:val="center"/>
        <w:rPr>
          <w:rFonts w:hint="eastAsia" w:cs="Times New Roman"/>
          <w:b/>
          <w:kern w:val="2"/>
          <w:sz w:val="32"/>
          <w:szCs w:val="32"/>
          <w:highlight w:val="none"/>
          <w:lang w:val="en-US" w:eastAsia="zh-CN" w:bidi="ar-SA"/>
        </w:rPr>
      </w:pPr>
      <w:bookmarkStart w:id="5" w:name="_Toc20337"/>
    </w:p>
    <w:p>
      <w:pPr>
        <w:autoSpaceDE/>
        <w:autoSpaceDN/>
        <w:jc w:val="center"/>
        <w:rPr>
          <w:rFonts w:cs="Times New Roman"/>
          <w:b/>
          <w:kern w:val="2"/>
          <w:sz w:val="32"/>
          <w:szCs w:val="32"/>
          <w:highlight w:val="none"/>
          <w:lang w:val="en-US" w:bidi="ar-SA"/>
        </w:rPr>
      </w:pPr>
      <w:r>
        <w:rPr>
          <w:rFonts w:hint="eastAsia" w:cs="Times New Roman"/>
          <w:b/>
          <w:kern w:val="2"/>
          <w:sz w:val="32"/>
          <w:szCs w:val="32"/>
          <w:highlight w:val="none"/>
          <w:lang w:val="en-US" w:eastAsia="zh-CN" w:bidi="ar-SA"/>
        </w:rPr>
        <w:t>钢材</w:t>
      </w:r>
      <w:r>
        <w:rPr>
          <w:rFonts w:hint="eastAsia" w:cs="Times New Roman"/>
          <w:b/>
          <w:kern w:val="2"/>
          <w:sz w:val="32"/>
          <w:szCs w:val="32"/>
          <w:highlight w:val="none"/>
          <w:lang w:val="en-US" w:bidi="ar-SA"/>
        </w:rPr>
        <w:t>运输采购项目招标公告</w:t>
      </w:r>
    </w:p>
    <w:p>
      <w:pPr>
        <w:pStyle w:val="11"/>
        <w:rPr>
          <w:sz w:val="16"/>
          <w:szCs w:val="18"/>
          <w:highlight w:val="none"/>
        </w:rPr>
      </w:pPr>
    </w:p>
    <w:p>
      <w:pPr>
        <w:pStyle w:val="4"/>
        <w:tabs>
          <w:tab w:val="left" w:pos="802"/>
        </w:tabs>
        <w:spacing w:before="92"/>
        <w:ind w:left="400" w:firstLine="0"/>
        <w:rPr>
          <w:rFonts w:ascii="宋体" w:hAnsi="宋体" w:eastAsia="宋体" w:cs="宋体"/>
          <w:sz w:val="24"/>
          <w:szCs w:val="24"/>
          <w:highlight w:val="none"/>
        </w:rPr>
      </w:pPr>
      <w:bookmarkStart w:id="6" w:name="_bookmark2"/>
      <w:bookmarkEnd w:id="6"/>
      <w:bookmarkStart w:id="7" w:name="_Toc31787"/>
      <w:bookmarkStart w:id="8" w:name="_Toc11833"/>
      <w:r>
        <w:rPr>
          <w:rFonts w:hint="eastAsia" w:ascii="宋体" w:hAnsi="宋体" w:eastAsia="宋体" w:cs="宋体"/>
          <w:sz w:val="24"/>
          <w:szCs w:val="24"/>
          <w:highlight w:val="none"/>
          <w:lang w:val="en-US"/>
        </w:rPr>
        <w:t>1.</w:t>
      </w:r>
      <w:r>
        <w:rPr>
          <w:rFonts w:hint="eastAsia" w:ascii="宋体" w:hAnsi="宋体" w:eastAsia="宋体" w:cs="宋体"/>
          <w:sz w:val="24"/>
          <w:szCs w:val="24"/>
          <w:highlight w:val="none"/>
        </w:rPr>
        <w:t>招标条件</w:t>
      </w:r>
      <w:bookmarkEnd w:id="7"/>
      <w:bookmarkEnd w:id="8"/>
    </w:p>
    <w:p>
      <w:pPr>
        <w:pStyle w:val="11"/>
        <w:tabs>
          <w:tab w:val="left" w:pos="2688"/>
          <w:tab w:val="left" w:pos="3132"/>
          <w:tab w:val="left" w:pos="3772"/>
          <w:tab w:val="left" w:pos="6967"/>
          <w:tab w:val="left" w:pos="7570"/>
        </w:tabs>
        <w:spacing w:before="302" w:line="357" w:lineRule="auto"/>
        <w:ind w:left="400" w:right="693" w:firstLine="419"/>
        <w:jc w:val="both"/>
        <w:rPr>
          <w:sz w:val="22"/>
          <w:szCs w:val="22"/>
          <w:highlight w:val="none"/>
        </w:rPr>
      </w:pPr>
      <w:r>
        <w:rPr>
          <w:sz w:val="22"/>
          <w:szCs w:val="22"/>
          <w:highlight w:val="none"/>
        </w:rPr>
        <w:t>本招标项目</w:t>
      </w:r>
      <w:r>
        <w:rPr>
          <w:rFonts w:hint="eastAsia"/>
          <w:sz w:val="22"/>
          <w:szCs w:val="22"/>
          <w:highlight w:val="none"/>
          <w:u w:val="single"/>
          <w:lang w:eastAsia="zh-CN"/>
        </w:rPr>
        <w:t>钢材</w:t>
      </w:r>
      <w:r>
        <w:rPr>
          <w:rFonts w:hint="eastAsia"/>
          <w:sz w:val="22"/>
          <w:szCs w:val="22"/>
          <w:highlight w:val="none"/>
          <w:u w:val="single"/>
        </w:rPr>
        <w:t>运输采购项目</w:t>
      </w:r>
      <w:r>
        <w:rPr>
          <w:sz w:val="22"/>
          <w:szCs w:val="22"/>
          <w:highlight w:val="none"/>
        </w:rPr>
        <w:t>（项目名</w:t>
      </w:r>
      <w:r>
        <w:rPr>
          <w:spacing w:val="-3"/>
          <w:sz w:val="22"/>
          <w:szCs w:val="22"/>
          <w:highlight w:val="none"/>
        </w:rPr>
        <w:t>称</w:t>
      </w:r>
      <w:r>
        <w:rPr>
          <w:sz w:val="22"/>
          <w:szCs w:val="22"/>
          <w:highlight w:val="none"/>
        </w:rPr>
        <w:t>）招标</w:t>
      </w:r>
      <w:r>
        <w:rPr>
          <w:spacing w:val="-3"/>
          <w:sz w:val="22"/>
          <w:szCs w:val="22"/>
          <w:highlight w:val="none"/>
        </w:rPr>
        <w:t>人</w:t>
      </w:r>
      <w:r>
        <w:rPr>
          <w:sz w:val="22"/>
          <w:szCs w:val="22"/>
          <w:highlight w:val="none"/>
        </w:rPr>
        <w:t>为</w:t>
      </w:r>
      <w:r>
        <w:rPr>
          <w:sz w:val="22"/>
          <w:szCs w:val="22"/>
          <w:highlight w:val="none"/>
          <w:u w:val="single"/>
        </w:rPr>
        <w:t xml:space="preserve"> </w:t>
      </w:r>
      <w:r>
        <w:rPr>
          <w:rFonts w:hint="eastAsia"/>
          <w:sz w:val="22"/>
          <w:szCs w:val="22"/>
          <w:highlight w:val="none"/>
          <w:u w:val="single"/>
        </w:rPr>
        <w:t>贵州交投商贸物流有限公司</w:t>
      </w:r>
      <w:r>
        <w:rPr>
          <w:sz w:val="22"/>
          <w:szCs w:val="22"/>
          <w:highlight w:val="none"/>
        </w:rPr>
        <w:t>，</w:t>
      </w:r>
      <w:r>
        <w:rPr>
          <w:spacing w:val="-3"/>
          <w:sz w:val="22"/>
          <w:szCs w:val="22"/>
          <w:highlight w:val="none"/>
        </w:rPr>
        <w:t>招</w:t>
      </w:r>
      <w:r>
        <w:rPr>
          <w:sz w:val="22"/>
          <w:szCs w:val="22"/>
          <w:highlight w:val="none"/>
        </w:rPr>
        <w:t>标项目</w:t>
      </w:r>
      <w:r>
        <w:rPr>
          <w:spacing w:val="-3"/>
          <w:sz w:val="22"/>
          <w:szCs w:val="22"/>
          <w:highlight w:val="none"/>
        </w:rPr>
        <w:t>资</w:t>
      </w:r>
      <w:r>
        <w:rPr>
          <w:spacing w:val="-16"/>
          <w:sz w:val="22"/>
          <w:szCs w:val="22"/>
          <w:highlight w:val="none"/>
        </w:rPr>
        <w:t>金</w:t>
      </w:r>
      <w:r>
        <w:rPr>
          <w:sz w:val="22"/>
          <w:szCs w:val="22"/>
          <w:highlight w:val="none"/>
        </w:rPr>
        <w:t>来自</w:t>
      </w:r>
      <w:r>
        <w:rPr>
          <w:sz w:val="22"/>
          <w:szCs w:val="22"/>
          <w:highlight w:val="none"/>
          <w:u w:val="single"/>
        </w:rPr>
        <w:t xml:space="preserve"> </w:t>
      </w:r>
      <w:r>
        <w:rPr>
          <w:rFonts w:hint="eastAsia"/>
          <w:sz w:val="22"/>
          <w:szCs w:val="22"/>
          <w:highlight w:val="none"/>
          <w:u w:val="single"/>
        </w:rPr>
        <w:t>企业自筹</w:t>
      </w:r>
      <w:r>
        <w:rPr>
          <w:sz w:val="22"/>
          <w:szCs w:val="22"/>
          <w:highlight w:val="none"/>
        </w:rPr>
        <w:t>（</w:t>
      </w:r>
      <w:r>
        <w:rPr>
          <w:spacing w:val="-3"/>
          <w:sz w:val="22"/>
          <w:szCs w:val="22"/>
          <w:highlight w:val="none"/>
        </w:rPr>
        <w:t>资</w:t>
      </w:r>
      <w:r>
        <w:rPr>
          <w:sz w:val="22"/>
          <w:szCs w:val="22"/>
          <w:highlight w:val="none"/>
        </w:rPr>
        <w:t>金</w:t>
      </w:r>
      <w:r>
        <w:rPr>
          <w:spacing w:val="-3"/>
          <w:sz w:val="22"/>
          <w:szCs w:val="22"/>
          <w:highlight w:val="none"/>
        </w:rPr>
        <w:t>来</w:t>
      </w:r>
      <w:r>
        <w:rPr>
          <w:sz w:val="22"/>
          <w:szCs w:val="22"/>
          <w:highlight w:val="none"/>
        </w:rPr>
        <w:t>源</w:t>
      </w:r>
      <w:r>
        <w:rPr>
          <w:spacing w:val="-68"/>
          <w:sz w:val="22"/>
          <w:szCs w:val="22"/>
          <w:highlight w:val="none"/>
        </w:rPr>
        <w:t>）</w:t>
      </w:r>
      <w:r>
        <w:rPr>
          <w:rFonts w:hint="eastAsia"/>
          <w:spacing w:val="-68"/>
          <w:sz w:val="22"/>
          <w:szCs w:val="22"/>
          <w:highlight w:val="none"/>
          <w:lang w:val="en-US"/>
        </w:rPr>
        <w:t xml:space="preserve">，  </w:t>
      </w:r>
      <w:r>
        <w:rPr>
          <w:sz w:val="22"/>
          <w:szCs w:val="22"/>
          <w:highlight w:val="none"/>
        </w:rPr>
        <w:t>出</w:t>
      </w:r>
      <w:r>
        <w:rPr>
          <w:spacing w:val="-3"/>
          <w:sz w:val="22"/>
          <w:szCs w:val="22"/>
          <w:highlight w:val="none"/>
        </w:rPr>
        <w:t>资</w:t>
      </w:r>
      <w:r>
        <w:rPr>
          <w:sz w:val="22"/>
          <w:szCs w:val="22"/>
          <w:highlight w:val="none"/>
        </w:rPr>
        <w:t>比</w:t>
      </w:r>
      <w:r>
        <w:rPr>
          <w:spacing w:val="-3"/>
          <w:sz w:val="22"/>
          <w:szCs w:val="22"/>
          <w:highlight w:val="none"/>
        </w:rPr>
        <w:t>例为</w:t>
      </w:r>
      <w:r>
        <w:rPr>
          <w:spacing w:val="-3"/>
          <w:sz w:val="22"/>
          <w:szCs w:val="22"/>
          <w:highlight w:val="none"/>
          <w:u w:val="single"/>
        </w:rPr>
        <w:t xml:space="preserve"> </w:t>
      </w:r>
      <w:r>
        <w:rPr>
          <w:rFonts w:hint="eastAsia"/>
          <w:spacing w:val="-3"/>
          <w:sz w:val="22"/>
          <w:szCs w:val="22"/>
          <w:highlight w:val="none"/>
          <w:u w:val="single"/>
          <w:lang w:val="en-US"/>
        </w:rPr>
        <w:t>100%</w:t>
      </w:r>
      <w:r>
        <w:rPr>
          <w:spacing w:val="-27"/>
          <w:sz w:val="22"/>
          <w:szCs w:val="22"/>
          <w:highlight w:val="none"/>
        </w:rPr>
        <w:t>。</w:t>
      </w:r>
      <w:r>
        <w:rPr>
          <w:spacing w:val="-3"/>
          <w:sz w:val="22"/>
          <w:szCs w:val="22"/>
          <w:highlight w:val="none"/>
        </w:rPr>
        <w:t>该</w:t>
      </w:r>
      <w:r>
        <w:rPr>
          <w:sz w:val="22"/>
          <w:szCs w:val="22"/>
          <w:highlight w:val="none"/>
        </w:rPr>
        <w:t>项目</w:t>
      </w:r>
      <w:r>
        <w:rPr>
          <w:spacing w:val="-3"/>
          <w:sz w:val="22"/>
          <w:szCs w:val="22"/>
          <w:highlight w:val="none"/>
        </w:rPr>
        <w:t>已</w:t>
      </w:r>
      <w:r>
        <w:rPr>
          <w:sz w:val="22"/>
          <w:szCs w:val="22"/>
          <w:highlight w:val="none"/>
        </w:rPr>
        <w:t>具</w:t>
      </w:r>
      <w:r>
        <w:rPr>
          <w:spacing w:val="-3"/>
          <w:sz w:val="22"/>
          <w:szCs w:val="22"/>
          <w:highlight w:val="none"/>
        </w:rPr>
        <w:t>备</w:t>
      </w:r>
      <w:r>
        <w:rPr>
          <w:sz w:val="22"/>
          <w:szCs w:val="22"/>
          <w:highlight w:val="none"/>
        </w:rPr>
        <w:t>招</w:t>
      </w:r>
      <w:r>
        <w:rPr>
          <w:spacing w:val="-3"/>
          <w:sz w:val="22"/>
          <w:szCs w:val="22"/>
          <w:highlight w:val="none"/>
        </w:rPr>
        <w:t>标</w:t>
      </w:r>
      <w:r>
        <w:rPr>
          <w:spacing w:val="-13"/>
          <w:sz w:val="22"/>
          <w:szCs w:val="22"/>
          <w:highlight w:val="none"/>
        </w:rPr>
        <w:t>条</w:t>
      </w:r>
      <w:r>
        <w:rPr>
          <w:sz w:val="22"/>
          <w:szCs w:val="22"/>
          <w:highlight w:val="none"/>
        </w:rPr>
        <w:t>件，</w:t>
      </w:r>
      <w:r>
        <w:rPr>
          <w:spacing w:val="-3"/>
          <w:sz w:val="22"/>
          <w:szCs w:val="22"/>
          <w:highlight w:val="none"/>
        </w:rPr>
        <w:t>现</w:t>
      </w:r>
      <w:r>
        <w:rPr>
          <w:sz w:val="22"/>
          <w:szCs w:val="22"/>
          <w:highlight w:val="none"/>
        </w:rPr>
        <w:t>对</w:t>
      </w:r>
      <w:r>
        <w:rPr>
          <w:rFonts w:hint="eastAsia"/>
          <w:sz w:val="22"/>
          <w:szCs w:val="22"/>
          <w:highlight w:val="none"/>
          <w:u w:val="single"/>
          <w:lang w:eastAsia="zh-CN"/>
        </w:rPr>
        <w:t>钢材</w:t>
      </w:r>
      <w:r>
        <w:rPr>
          <w:rFonts w:hint="eastAsia"/>
          <w:sz w:val="22"/>
          <w:szCs w:val="22"/>
          <w:highlight w:val="none"/>
          <w:u w:val="single"/>
        </w:rPr>
        <w:t>运输采购项目</w:t>
      </w:r>
      <w:r>
        <w:rPr>
          <w:spacing w:val="-3"/>
          <w:sz w:val="22"/>
          <w:szCs w:val="22"/>
          <w:highlight w:val="none"/>
        </w:rPr>
        <w:t>采</w:t>
      </w:r>
      <w:r>
        <w:rPr>
          <w:sz w:val="22"/>
          <w:szCs w:val="22"/>
          <w:highlight w:val="none"/>
        </w:rPr>
        <w:t>购</w:t>
      </w:r>
      <w:r>
        <w:rPr>
          <w:spacing w:val="-3"/>
          <w:sz w:val="22"/>
          <w:szCs w:val="22"/>
          <w:highlight w:val="none"/>
        </w:rPr>
        <w:t>进行</w:t>
      </w:r>
      <w:r>
        <w:rPr>
          <w:sz w:val="22"/>
          <w:szCs w:val="22"/>
          <w:highlight w:val="none"/>
        </w:rPr>
        <w:t>公开</w:t>
      </w:r>
      <w:r>
        <w:rPr>
          <w:spacing w:val="-3"/>
          <w:sz w:val="22"/>
          <w:szCs w:val="22"/>
          <w:highlight w:val="none"/>
        </w:rPr>
        <w:t>招</w:t>
      </w:r>
      <w:r>
        <w:rPr>
          <w:sz w:val="22"/>
          <w:szCs w:val="22"/>
          <w:highlight w:val="none"/>
        </w:rPr>
        <w:t>标</w:t>
      </w:r>
      <w:r>
        <w:rPr>
          <w:rFonts w:hint="eastAsia" w:cs="仿宋"/>
          <w:highlight w:val="none"/>
        </w:rPr>
        <w:t>，实行资格后审，</w:t>
      </w:r>
      <w:r>
        <w:rPr>
          <w:rFonts w:hint="eastAsia"/>
          <w:sz w:val="22"/>
          <w:szCs w:val="22"/>
          <w:highlight w:val="none"/>
        </w:rPr>
        <w:t>有意向的供应商均可前来报名</w:t>
      </w:r>
      <w:r>
        <w:rPr>
          <w:sz w:val="22"/>
          <w:szCs w:val="22"/>
          <w:highlight w:val="none"/>
        </w:rPr>
        <w:t>。</w:t>
      </w:r>
    </w:p>
    <w:p>
      <w:pPr>
        <w:pStyle w:val="4"/>
        <w:tabs>
          <w:tab w:val="left" w:pos="802"/>
        </w:tabs>
        <w:spacing w:before="43"/>
        <w:ind w:left="400" w:firstLine="0"/>
        <w:rPr>
          <w:sz w:val="24"/>
          <w:szCs w:val="24"/>
          <w:highlight w:val="none"/>
          <w:lang w:val="en-US"/>
        </w:rPr>
      </w:pPr>
      <w:bookmarkStart w:id="9" w:name="_bookmark3"/>
      <w:bookmarkEnd w:id="9"/>
      <w:bookmarkStart w:id="10" w:name="_Toc25369"/>
      <w:bookmarkStart w:id="11" w:name="_Toc10811"/>
      <w:r>
        <w:rPr>
          <w:rFonts w:hint="eastAsia" w:ascii="宋体" w:hAnsi="宋体" w:eastAsia="宋体" w:cs="宋体"/>
          <w:sz w:val="24"/>
          <w:szCs w:val="24"/>
          <w:highlight w:val="none"/>
          <w:lang w:val="en-US"/>
        </w:rPr>
        <w:t>2.</w:t>
      </w:r>
      <w:r>
        <w:rPr>
          <w:rFonts w:hint="eastAsia" w:ascii="宋体" w:hAnsi="宋体" w:eastAsia="宋体" w:cs="宋体"/>
          <w:sz w:val="24"/>
          <w:szCs w:val="24"/>
          <w:highlight w:val="none"/>
        </w:rPr>
        <w:t>项目概况与招标</w:t>
      </w:r>
      <w:bookmarkEnd w:id="10"/>
      <w:r>
        <w:rPr>
          <w:rFonts w:hint="eastAsia" w:ascii="宋体" w:hAnsi="宋体" w:eastAsia="宋体" w:cs="宋体"/>
          <w:sz w:val="24"/>
          <w:szCs w:val="24"/>
          <w:highlight w:val="none"/>
          <w:lang w:val="en-US"/>
        </w:rPr>
        <w:t>内容</w:t>
      </w:r>
      <w:bookmarkEnd w:id="11"/>
    </w:p>
    <w:p>
      <w:pPr>
        <w:pStyle w:val="11"/>
        <w:tabs>
          <w:tab w:val="left" w:pos="2688"/>
          <w:tab w:val="left" w:pos="3132"/>
          <w:tab w:val="left" w:pos="3772"/>
          <w:tab w:val="left" w:pos="6967"/>
          <w:tab w:val="left" w:pos="7570"/>
        </w:tabs>
        <w:spacing w:before="302"/>
        <w:ind w:right="692" w:firstLine="660" w:firstLineChars="300"/>
        <w:jc w:val="both"/>
        <w:rPr>
          <w:sz w:val="22"/>
          <w:szCs w:val="22"/>
          <w:highlight w:val="none"/>
          <w:lang w:val="en-US"/>
        </w:rPr>
      </w:pPr>
      <w:r>
        <w:rPr>
          <w:rFonts w:hint="eastAsia"/>
          <w:sz w:val="22"/>
          <w:szCs w:val="22"/>
          <w:highlight w:val="none"/>
          <w:lang w:val="en-US"/>
        </w:rPr>
        <w:t>2.1</w:t>
      </w:r>
      <w:r>
        <w:rPr>
          <w:rFonts w:hint="eastAsia"/>
          <w:sz w:val="22"/>
          <w:szCs w:val="22"/>
          <w:highlight w:val="none"/>
        </w:rPr>
        <w:t>项目概况：</w:t>
      </w:r>
      <w:r>
        <w:rPr>
          <w:rFonts w:hint="eastAsia"/>
          <w:sz w:val="22"/>
          <w:szCs w:val="22"/>
          <w:highlight w:val="none"/>
          <w:lang w:val="en-US"/>
        </w:rPr>
        <w:t>本次招标范围为</w:t>
      </w:r>
      <w:r>
        <w:rPr>
          <w:rFonts w:hint="eastAsia"/>
          <w:sz w:val="22"/>
          <w:szCs w:val="22"/>
          <w:highlight w:val="none"/>
          <w:lang w:val="en-US" w:eastAsia="zh-CN"/>
        </w:rPr>
        <w:t>钢材</w:t>
      </w:r>
      <w:r>
        <w:rPr>
          <w:rFonts w:hint="eastAsia"/>
          <w:sz w:val="22"/>
          <w:szCs w:val="22"/>
          <w:highlight w:val="none"/>
          <w:lang w:val="en-US"/>
        </w:rPr>
        <w:t>运输采购项目，</w:t>
      </w:r>
      <w:r>
        <w:rPr>
          <w:sz w:val="22"/>
          <w:szCs w:val="22"/>
          <w:highlight w:val="none"/>
          <w:lang w:val="en-US"/>
        </w:rPr>
        <w:t>具体</w:t>
      </w:r>
      <w:r>
        <w:rPr>
          <w:rFonts w:hint="eastAsia"/>
          <w:sz w:val="22"/>
          <w:szCs w:val="22"/>
          <w:highlight w:val="none"/>
          <w:lang w:val="en-US"/>
        </w:rPr>
        <w:t>标包</w:t>
      </w:r>
      <w:r>
        <w:rPr>
          <w:sz w:val="22"/>
          <w:szCs w:val="22"/>
          <w:highlight w:val="none"/>
          <w:lang w:val="en-US"/>
        </w:rPr>
        <w:t>划分及运输数量</w:t>
      </w:r>
      <w:r>
        <w:rPr>
          <w:rFonts w:hint="eastAsia"/>
          <w:sz w:val="22"/>
          <w:szCs w:val="22"/>
          <w:highlight w:val="none"/>
          <w:lang w:val="en-US"/>
        </w:rPr>
        <w:t>，</w:t>
      </w:r>
      <w:r>
        <w:rPr>
          <w:sz w:val="22"/>
          <w:szCs w:val="22"/>
          <w:highlight w:val="none"/>
          <w:lang w:val="en-US"/>
        </w:rPr>
        <w:t>以</w:t>
      </w:r>
      <w:r>
        <w:rPr>
          <w:rFonts w:hint="eastAsia"/>
          <w:sz w:val="22"/>
          <w:szCs w:val="22"/>
          <w:highlight w:val="none"/>
          <w:lang w:val="en-US"/>
        </w:rPr>
        <w:t>招标</w:t>
      </w:r>
      <w:r>
        <w:rPr>
          <w:sz w:val="22"/>
          <w:szCs w:val="22"/>
          <w:highlight w:val="none"/>
          <w:lang w:val="en-US"/>
        </w:rPr>
        <w:t>人提供数量为基准，最终结算以实际发生数量为准。</w:t>
      </w:r>
    </w:p>
    <w:p>
      <w:pPr>
        <w:pStyle w:val="11"/>
        <w:tabs>
          <w:tab w:val="left" w:pos="2688"/>
          <w:tab w:val="left" w:pos="3132"/>
          <w:tab w:val="left" w:pos="3772"/>
          <w:tab w:val="left" w:pos="6967"/>
          <w:tab w:val="left" w:pos="7570"/>
        </w:tabs>
        <w:spacing w:before="302"/>
        <w:ind w:right="692" w:firstLine="660" w:firstLineChars="300"/>
        <w:jc w:val="both"/>
        <w:rPr>
          <w:sz w:val="22"/>
          <w:szCs w:val="22"/>
          <w:highlight w:val="none"/>
          <w:lang w:val="en-US"/>
        </w:rPr>
      </w:pPr>
      <w:r>
        <w:rPr>
          <w:rFonts w:hint="eastAsia"/>
          <w:sz w:val="22"/>
          <w:szCs w:val="22"/>
          <w:highlight w:val="none"/>
          <w:lang w:val="en-US"/>
        </w:rPr>
        <w:t>2.2招标内容：</w:t>
      </w:r>
      <w:r>
        <w:rPr>
          <w:rFonts w:hint="eastAsia"/>
          <w:sz w:val="22"/>
          <w:szCs w:val="22"/>
          <w:highlight w:val="none"/>
          <w:lang w:val="en-US" w:eastAsia="zh-CN"/>
        </w:rPr>
        <w:t>钢材</w:t>
      </w:r>
      <w:r>
        <w:rPr>
          <w:rFonts w:hint="eastAsia"/>
          <w:sz w:val="22"/>
          <w:szCs w:val="22"/>
          <w:highlight w:val="none"/>
          <w:lang w:val="en-US"/>
        </w:rPr>
        <w:t>运输采购项目。</w:t>
      </w:r>
    </w:p>
    <w:p>
      <w:pPr>
        <w:pStyle w:val="11"/>
        <w:tabs>
          <w:tab w:val="left" w:pos="2688"/>
          <w:tab w:val="left" w:pos="3132"/>
          <w:tab w:val="left" w:pos="3772"/>
          <w:tab w:val="left" w:pos="6967"/>
          <w:tab w:val="left" w:pos="7570"/>
        </w:tabs>
        <w:spacing w:before="302"/>
        <w:ind w:right="692" w:firstLine="440" w:firstLineChars="200"/>
        <w:jc w:val="both"/>
        <w:rPr>
          <w:sz w:val="22"/>
          <w:szCs w:val="22"/>
          <w:highlight w:val="none"/>
          <w:lang w:val="en-US"/>
        </w:rPr>
      </w:pPr>
      <w:r>
        <w:rPr>
          <w:rFonts w:hint="eastAsia"/>
          <w:sz w:val="22"/>
          <w:szCs w:val="22"/>
          <w:highlight w:val="none"/>
          <w:lang w:val="en-US"/>
        </w:rPr>
        <w:t>预计服务周期：</w:t>
      </w:r>
      <w:r>
        <w:rPr>
          <w:rFonts w:hint="eastAsia"/>
          <w:sz w:val="22"/>
          <w:szCs w:val="22"/>
          <w:highlight w:val="none"/>
          <w:lang w:val="en-US" w:eastAsia="zh-CN"/>
        </w:rPr>
        <w:t>自2021年7月起至2022年6月30日止</w:t>
      </w:r>
      <w:r>
        <w:rPr>
          <w:sz w:val="22"/>
          <w:szCs w:val="22"/>
          <w:highlight w:val="none"/>
          <w:lang w:val="en-US"/>
        </w:rPr>
        <w:t>，具体起运时间以</w:t>
      </w:r>
      <w:r>
        <w:rPr>
          <w:rFonts w:hint="eastAsia"/>
          <w:sz w:val="22"/>
          <w:szCs w:val="22"/>
          <w:highlight w:val="none"/>
          <w:lang w:val="en-US"/>
        </w:rPr>
        <w:t>招标</w:t>
      </w:r>
      <w:r>
        <w:rPr>
          <w:sz w:val="22"/>
          <w:szCs w:val="22"/>
          <w:highlight w:val="none"/>
          <w:lang w:val="en-US"/>
        </w:rPr>
        <w:t>人要求为准。</w:t>
      </w:r>
      <w:r>
        <w:rPr>
          <w:rFonts w:hint="eastAsia"/>
          <w:sz w:val="22"/>
          <w:szCs w:val="22"/>
          <w:highlight w:val="none"/>
          <w:lang w:val="en-US"/>
        </w:rPr>
        <w:t>本次招标划分1个包件。</w:t>
      </w:r>
    </w:p>
    <w:tbl>
      <w:tblPr>
        <w:tblStyle w:val="22"/>
        <w:tblW w:w="8457" w:type="dxa"/>
        <w:tblInd w:w="364" w:type="dxa"/>
        <w:tblLayout w:type="fixed"/>
        <w:tblCellMar>
          <w:top w:w="0" w:type="dxa"/>
          <w:left w:w="0" w:type="dxa"/>
          <w:bottom w:w="0" w:type="dxa"/>
          <w:right w:w="0" w:type="dxa"/>
        </w:tblCellMar>
      </w:tblPr>
      <w:tblGrid>
        <w:gridCol w:w="880"/>
        <w:gridCol w:w="1763"/>
        <w:gridCol w:w="3922"/>
        <w:gridCol w:w="1892"/>
      </w:tblGrid>
      <w:tr>
        <w:tblPrEx>
          <w:tblCellMar>
            <w:top w:w="0" w:type="dxa"/>
            <w:left w:w="0" w:type="dxa"/>
            <w:bottom w:w="0" w:type="dxa"/>
            <w:right w:w="0" w:type="dxa"/>
          </w:tblCellMar>
        </w:tblPrEx>
        <w:trPr>
          <w:trHeight w:val="458" w:hRule="atLeast"/>
        </w:trPr>
        <w:tc>
          <w:tcPr>
            <w:tcW w:w="88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highlight w:val="none"/>
                <w:lang w:val="en-US"/>
              </w:rPr>
            </w:pPr>
            <w:r>
              <w:rPr>
                <w:rFonts w:hint="eastAsia"/>
                <w:highlight w:val="none"/>
                <w:lang w:val="en-US"/>
              </w:rPr>
              <w:t>序号</w:t>
            </w:r>
          </w:p>
        </w:tc>
        <w:tc>
          <w:tcPr>
            <w:tcW w:w="1763"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highlight w:val="none"/>
                <w:lang w:val="en-US"/>
              </w:rPr>
            </w:pPr>
            <w:r>
              <w:rPr>
                <w:rFonts w:hint="eastAsia"/>
                <w:highlight w:val="none"/>
                <w:lang w:val="en-US"/>
              </w:rPr>
              <w:t>物资种类</w:t>
            </w:r>
          </w:p>
        </w:tc>
        <w:tc>
          <w:tcPr>
            <w:tcW w:w="39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highlight w:val="none"/>
                <w:lang w:val="en-US"/>
              </w:rPr>
            </w:pPr>
            <w:r>
              <w:rPr>
                <w:rFonts w:hint="eastAsia"/>
                <w:highlight w:val="none"/>
                <w:lang w:val="en-US"/>
              </w:rPr>
              <w:t>运输区间范围</w:t>
            </w:r>
          </w:p>
        </w:tc>
        <w:tc>
          <w:tcPr>
            <w:tcW w:w="18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highlight w:val="none"/>
                <w:lang w:val="en-US"/>
              </w:rPr>
            </w:pPr>
            <w:r>
              <w:rPr>
                <w:rFonts w:hint="eastAsia"/>
                <w:highlight w:val="none"/>
                <w:lang w:val="en-US"/>
              </w:rPr>
              <w:t>备注</w:t>
            </w:r>
          </w:p>
        </w:tc>
      </w:tr>
      <w:tr>
        <w:tblPrEx>
          <w:tblCellMar>
            <w:top w:w="0" w:type="dxa"/>
            <w:left w:w="0" w:type="dxa"/>
            <w:bottom w:w="0" w:type="dxa"/>
            <w:right w:w="0" w:type="dxa"/>
          </w:tblCellMar>
        </w:tblPrEx>
        <w:trPr>
          <w:trHeight w:val="530" w:hRule="atLeast"/>
        </w:trPr>
        <w:tc>
          <w:tcPr>
            <w:tcW w:w="880" w:type="dxa"/>
            <w:vMerge w:val="restart"/>
            <w:tcBorders>
              <w:top w:val="single" w:color="auto" w:sz="4" w:space="0"/>
              <w:left w:val="single" w:color="auto" w:sz="4" w:space="0"/>
              <w:right w:val="single" w:color="auto" w:sz="4" w:space="0"/>
            </w:tcBorders>
            <w:shd w:val="clear" w:color="auto" w:fill="auto"/>
            <w:noWrap/>
            <w:tcMar>
              <w:top w:w="15" w:type="dxa"/>
              <w:left w:w="15" w:type="dxa"/>
              <w:right w:w="15" w:type="dxa"/>
            </w:tcMar>
            <w:vAlign w:val="center"/>
          </w:tcPr>
          <w:p>
            <w:pPr>
              <w:jc w:val="center"/>
              <w:rPr>
                <w:highlight w:val="none"/>
                <w:lang w:val="en-US"/>
              </w:rPr>
            </w:pPr>
            <w:r>
              <w:rPr>
                <w:rFonts w:hint="eastAsia"/>
                <w:highlight w:val="none"/>
                <w:lang w:val="en-US"/>
              </w:rPr>
              <w:t>1</w:t>
            </w:r>
          </w:p>
        </w:tc>
        <w:tc>
          <w:tcPr>
            <w:tcW w:w="1763" w:type="dxa"/>
            <w:vMerge w:val="restart"/>
            <w:tcBorders>
              <w:top w:val="single" w:color="auto" w:sz="4" w:space="0"/>
              <w:left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hint="eastAsia" w:eastAsia="宋体"/>
                <w:b/>
                <w:highlight w:val="none"/>
                <w:lang w:val="en-US" w:eastAsia="zh-CN"/>
              </w:rPr>
            </w:pPr>
            <w:r>
              <w:rPr>
                <w:rFonts w:hint="eastAsia"/>
                <w:highlight w:val="none"/>
                <w:lang w:val="en-US" w:eastAsia="zh-CN"/>
              </w:rPr>
              <w:t>钢材</w:t>
            </w:r>
          </w:p>
        </w:tc>
        <w:tc>
          <w:tcPr>
            <w:tcW w:w="3922" w:type="dxa"/>
            <w:tcBorders>
              <w:top w:val="single" w:color="000000" w:sz="4" w:space="0"/>
              <w:left w:val="single" w:color="auto" w:sz="4" w:space="0"/>
              <w:bottom w:val="single" w:color="auto" w:sz="4" w:space="0"/>
              <w:right w:val="single" w:color="000000" w:sz="4" w:space="0"/>
            </w:tcBorders>
            <w:vAlign w:val="center"/>
          </w:tcPr>
          <w:p>
            <w:pPr>
              <w:widowControl/>
              <w:jc w:val="center"/>
              <w:textAlignment w:val="center"/>
              <w:rPr>
                <w:rFonts w:hint="default" w:eastAsia="宋体"/>
                <w:highlight w:val="none"/>
                <w:lang w:val="en-US" w:eastAsia="zh-CN"/>
              </w:rPr>
            </w:pPr>
            <w:r>
              <w:rPr>
                <w:highlight w:val="none"/>
                <w:lang w:val="en-US"/>
              </w:rPr>
              <w:t>实测距离</w:t>
            </w:r>
            <w:r>
              <w:rPr>
                <w:rFonts w:hint="eastAsia"/>
                <w:highlight w:val="none"/>
                <w:lang w:val="en-US"/>
              </w:rPr>
              <w:t>＜</w:t>
            </w:r>
            <w:r>
              <w:rPr>
                <w:rFonts w:hint="eastAsia"/>
                <w:highlight w:val="none"/>
                <w:lang w:val="en-US" w:eastAsia="zh-CN"/>
              </w:rPr>
              <w:t>80公里</w:t>
            </w:r>
          </w:p>
        </w:tc>
        <w:tc>
          <w:tcPr>
            <w:tcW w:w="1892"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jc w:val="center"/>
              <w:rPr>
                <w:highlight w:val="none"/>
                <w:lang w:val="en-US"/>
              </w:rPr>
            </w:pPr>
            <w:r>
              <w:rPr>
                <w:rFonts w:hint="eastAsia"/>
                <w:highlight w:val="none"/>
                <w:lang w:val="en-US"/>
              </w:rPr>
              <w:t>无</w:t>
            </w:r>
          </w:p>
        </w:tc>
      </w:tr>
      <w:tr>
        <w:tblPrEx>
          <w:tblCellMar>
            <w:top w:w="0" w:type="dxa"/>
            <w:left w:w="0" w:type="dxa"/>
            <w:bottom w:w="0" w:type="dxa"/>
            <w:right w:w="0" w:type="dxa"/>
          </w:tblCellMar>
        </w:tblPrEx>
        <w:trPr>
          <w:trHeight w:val="434" w:hRule="atLeast"/>
        </w:trPr>
        <w:tc>
          <w:tcPr>
            <w:tcW w:w="880"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jc w:val="center"/>
              <w:rPr>
                <w:highlight w:val="none"/>
                <w:lang w:val="en-US"/>
              </w:rPr>
            </w:pPr>
          </w:p>
        </w:tc>
        <w:tc>
          <w:tcPr>
            <w:tcW w:w="1763"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jc w:val="center"/>
              <w:rPr>
                <w:highlight w:val="none"/>
                <w:lang w:val="en-US"/>
              </w:rPr>
            </w:pPr>
          </w:p>
        </w:tc>
        <w:tc>
          <w:tcPr>
            <w:tcW w:w="392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highlight w:val="none"/>
                <w:lang w:val="en-US"/>
              </w:rPr>
            </w:pPr>
            <w:r>
              <w:rPr>
                <w:rFonts w:hint="eastAsia"/>
                <w:highlight w:val="none"/>
                <w:lang w:val="en-US" w:eastAsia="zh-CN"/>
              </w:rPr>
              <w:t>80</w:t>
            </w:r>
            <w:r>
              <w:rPr>
                <w:rFonts w:hint="eastAsia"/>
                <w:highlight w:val="none"/>
                <w:lang w:val="en-US"/>
              </w:rPr>
              <w:t>公里≦实测距离＜200公里</w:t>
            </w:r>
          </w:p>
        </w:tc>
        <w:tc>
          <w:tcPr>
            <w:tcW w:w="1892"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highlight w:val="none"/>
              </w:rPr>
            </w:pPr>
          </w:p>
        </w:tc>
      </w:tr>
      <w:tr>
        <w:tblPrEx>
          <w:tblCellMar>
            <w:top w:w="0" w:type="dxa"/>
            <w:left w:w="0" w:type="dxa"/>
            <w:bottom w:w="0" w:type="dxa"/>
            <w:right w:w="0" w:type="dxa"/>
          </w:tblCellMar>
        </w:tblPrEx>
        <w:trPr>
          <w:trHeight w:val="464" w:hRule="atLeast"/>
        </w:trPr>
        <w:tc>
          <w:tcPr>
            <w:tcW w:w="880" w:type="dxa"/>
            <w:vMerge w:val="continue"/>
            <w:tcBorders>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highlight w:val="none"/>
                <w:lang w:val="en-US"/>
              </w:rPr>
            </w:pPr>
          </w:p>
        </w:tc>
        <w:tc>
          <w:tcPr>
            <w:tcW w:w="1763" w:type="dxa"/>
            <w:vMerge w:val="continue"/>
            <w:tcBorders>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highlight w:val="none"/>
                <w:lang w:val="en-US"/>
              </w:rPr>
            </w:pPr>
          </w:p>
        </w:tc>
        <w:tc>
          <w:tcPr>
            <w:tcW w:w="392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highlight w:val="none"/>
                <w:lang w:val="en-US"/>
              </w:rPr>
            </w:pPr>
            <w:r>
              <w:rPr>
                <w:rFonts w:hint="eastAsia"/>
                <w:highlight w:val="none"/>
                <w:lang w:val="en-US"/>
              </w:rPr>
              <w:t>200公里≦实测距离</w:t>
            </w:r>
          </w:p>
        </w:tc>
        <w:tc>
          <w:tcPr>
            <w:tcW w:w="1892"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highlight w:val="none"/>
              </w:rPr>
            </w:pPr>
          </w:p>
        </w:tc>
      </w:tr>
    </w:tbl>
    <w:p>
      <w:pPr>
        <w:pStyle w:val="4"/>
        <w:tabs>
          <w:tab w:val="left" w:pos="802"/>
        </w:tabs>
        <w:spacing w:before="46"/>
        <w:ind w:left="0" w:firstLine="241" w:firstLineChars="100"/>
        <w:rPr>
          <w:rFonts w:ascii="宋体" w:hAnsi="宋体" w:cs="宋体"/>
          <w:sz w:val="21"/>
          <w:szCs w:val="21"/>
          <w:highlight w:val="none"/>
        </w:rPr>
      </w:pPr>
      <w:bookmarkStart w:id="12" w:name="_bookmark4"/>
      <w:bookmarkEnd w:id="12"/>
      <w:bookmarkStart w:id="13" w:name="_Toc15802"/>
      <w:r>
        <w:rPr>
          <w:rFonts w:hint="eastAsia" w:cs="Times New Roman" w:asciiTheme="minorEastAsia" w:hAnsiTheme="minorEastAsia" w:eastAsiaTheme="minorEastAsia"/>
          <w:sz w:val="24"/>
          <w:szCs w:val="24"/>
          <w:highlight w:val="none"/>
          <w:lang w:val="en-US"/>
        </w:rPr>
        <w:t>3.</w:t>
      </w:r>
      <w:r>
        <w:rPr>
          <w:rFonts w:hint="eastAsia" w:ascii="宋体" w:hAnsi="宋体" w:eastAsia="宋体" w:cs="宋体"/>
          <w:sz w:val="24"/>
          <w:szCs w:val="24"/>
          <w:highlight w:val="none"/>
        </w:rPr>
        <w:t>投标人资格要求</w:t>
      </w:r>
      <w:bookmarkEnd w:id="13"/>
    </w:p>
    <w:p>
      <w:pPr>
        <w:widowControl/>
        <w:spacing w:line="360" w:lineRule="auto"/>
        <w:ind w:firstLine="442" w:firstLineChars="200"/>
        <w:rPr>
          <w:b/>
          <w:bCs/>
          <w:highlight w:val="none"/>
        </w:rPr>
      </w:pPr>
      <w:r>
        <w:rPr>
          <w:rFonts w:hint="eastAsia" w:cs="仿宋"/>
          <w:b/>
          <w:bCs/>
          <w:highlight w:val="none"/>
          <w:lang w:val="en-US"/>
        </w:rPr>
        <w:t>3</w:t>
      </w:r>
      <w:r>
        <w:rPr>
          <w:rFonts w:cs="仿宋"/>
          <w:b/>
          <w:bCs/>
          <w:highlight w:val="none"/>
        </w:rPr>
        <w:t>.1</w:t>
      </w:r>
      <w:r>
        <w:rPr>
          <w:b/>
          <w:bCs/>
          <w:highlight w:val="none"/>
        </w:rPr>
        <w:t>资质</w:t>
      </w:r>
      <w:r>
        <w:rPr>
          <w:rFonts w:hint="eastAsia" w:cs="仿宋"/>
          <w:b/>
          <w:bCs/>
          <w:highlight w:val="none"/>
        </w:rPr>
        <w:t>要</w:t>
      </w:r>
      <w:r>
        <w:rPr>
          <w:rFonts w:hint="eastAsia"/>
          <w:b/>
          <w:bCs/>
          <w:highlight w:val="none"/>
        </w:rPr>
        <w:t>求：</w:t>
      </w:r>
    </w:p>
    <w:p>
      <w:pPr>
        <w:widowControl/>
        <w:spacing w:line="360" w:lineRule="auto"/>
        <w:ind w:firstLine="440" w:firstLineChars="200"/>
        <w:rPr>
          <w:highlight w:val="none"/>
          <w:lang w:val="en-US"/>
        </w:rPr>
      </w:pPr>
      <w:r>
        <w:rPr>
          <w:rFonts w:hint="eastAsia"/>
          <w:highlight w:val="none"/>
          <w:lang w:val="en-US"/>
        </w:rPr>
        <w:t>（1）具有独立法人资格，具备有效的营业执照及道路运输行政主管部门核发的有效《道路运输经营许可证》；</w:t>
      </w:r>
    </w:p>
    <w:p>
      <w:pPr>
        <w:widowControl/>
        <w:spacing w:line="360" w:lineRule="auto"/>
        <w:ind w:firstLine="440" w:firstLineChars="200"/>
        <w:rPr>
          <w:highlight w:val="none"/>
          <w:lang w:val="en-US"/>
        </w:rPr>
      </w:pPr>
      <w:r>
        <w:rPr>
          <w:rFonts w:hint="eastAsia"/>
          <w:highlight w:val="none"/>
          <w:lang w:val="en-US"/>
        </w:rPr>
        <w:t>（</w:t>
      </w:r>
      <w:r>
        <w:rPr>
          <w:rFonts w:hint="eastAsia"/>
          <w:highlight w:val="none"/>
          <w:lang w:val="en-US" w:eastAsia="zh-CN"/>
        </w:rPr>
        <w:t>2</w:t>
      </w:r>
      <w:r>
        <w:rPr>
          <w:rFonts w:hint="eastAsia"/>
          <w:highlight w:val="none"/>
          <w:lang w:val="en-US"/>
        </w:rPr>
        <w:t>）</w:t>
      </w:r>
      <w:r>
        <w:rPr>
          <w:highlight w:val="none"/>
          <w:lang w:val="en-US"/>
        </w:rPr>
        <w:t>拟投入本项目的运输车辆必须装有卫星定位系统。</w:t>
      </w:r>
    </w:p>
    <w:p>
      <w:pPr>
        <w:widowControl/>
        <w:spacing w:line="360" w:lineRule="auto"/>
        <w:ind w:firstLine="442" w:firstLineChars="200"/>
        <w:rPr>
          <w:highlight w:val="none"/>
          <w:lang w:val="en-US"/>
        </w:rPr>
      </w:pPr>
      <w:r>
        <w:rPr>
          <w:rFonts w:hint="eastAsia"/>
          <w:b/>
          <w:bCs/>
          <w:highlight w:val="none"/>
          <w:lang w:val="en-US"/>
        </w:rPr>
        <w:t>3</w:t>
      </w:r>
      <w:r>
        <w:rPr>
          <w:rFonts w:hint="eastAsia"/>
          <w:b/>
          <w:bCs/>
          <w:highlight w:val="none"/>
        </w:rPr>
        <w:t>.2 财务要求：</w:t>
      </w:r>
      <w:r>
        <w:rPr>
          <w:rFonts w:hint="eastAsia" w:asciiTheme="minorEastAsia" w:hAnsiTheme="minorEastAsia"/>
          <w:highlight w:val="none"/>
          <w:lang w:val="en-US"/>
        </w:rPr>
        <w:t>提供2020年度财务报表，2020年资金流动比率（流动资产/流动负债×100%）大于1。如为2021年新成立的公司，需提供自成立之日起的所有月份的财务报表</w:t>
      </w:r>
      <w:r>
        <w:rPr>
          <w:rFonts w:hint="eastAsia"/>
          <w:highlight w:val="none"/>
          <w:lang w:val="en-US"/>
        </w:rPr>
        <w:t>。</w:t>
      </w:r>
    </w:p>
    <w:p>
      <w:pPr>
        <w:widowControl/>
        <w:spacing w:line="360" w:lineRule="auto"/>
        <w:ind w:firstLine="442" w:firstLineChars="200"/>
        <w:rPr>
          <w:rFonts w:hint="eastAsia" w:asciiTheme="minorEastAsia" w:hAnsiTheme="minorEastAsia"/>
          <w:highlight w:val="none"/>
          <w:lang w:val="en-US"/>
        </w:rPr>
      </w:pPr>
      <w:r>
        <w:rPr>
          <w:rFonts w:hint="eastAsia"/>
          <w:b/>
          <w:bCs/>
          <w:highlight w:val="none"/>
          <w:lang w:val="en-US"/>
        </w:rPr>
        <w:t>3</w:t>
      </w:r>
      <w:r>
        <w:rPr>
          <w:rFonts w:hint="eastAsia"/>
          <w:b/>
          <w:bCs/>
          <w:highlight w:val="none"/>
        </w:rPr>
        <w:t>.3 组织与运输能力要求：</w:t>
      </w:r>
      <w:r>
        <w:rPr>
          <w:rFonts w:hint="eastAsia" w:asciiTheme="minorEastAsia" w:hAnsiTheme="minorEastAsia"/>
          <w:highlight w:val="none"/>
          <w:lang w:val="en-US"/>
        </w:rPr>
        <w:t>投标人须具有提供所承担项目的组织与运输能力。须具有与其经营业务相适应并经检测合格的车辆，投入本项目运输的车辆须随车携带车辆行驶证。</w:t>
      </w:r>
    </w:p>
    <w:p>
      <w:pPr>
        <w:widowControl/>
        <w:spacing w:line="360" w:lineRule="auto"/>
        <w:ind w:firstLine="442" w:firstLineChars="200"/>
        <w:rPr>
          <w:b/>
          <w:bCs/>
          <w:highlight w:val="none"/>
          <w:lang w:val="en-US"/>
        </w:rPr>
      </w:pPr>
      <w:r>
        <w:rPr>
          <w:rFonts w:hint="eastAsia"/>
          <w:b/>
          <w:bCs/>
          <w:highlight w:val="none"/>
          <w:lang w:val="en-US"/>
        </w:rPr>
        <w:t>3.4信誉要求：</w:t>
      </w:r>
    </w:p>
    <w:p>
      <w:pPr>
        <w:widowControl/>
        <w:spacing w:line="360" w:lineRule="auto"/>
        <w:ind w:firstLine="440" w:firstLineChars="200"/>
        <w:rPr>
          <w:highlight w:val="none"/>
          <w:lang w:val="en-US"/>
        </w:rPr>
      </w:pPr>
      <w:r>
        <w:rPr>
          <w:rFonts w:hint="eastAsia"/>
          <w:highlight w:val="none"/>
          <w:lang w:val="en-US"/>
        </w:rPr>
        <w:t>(1)</w:t>
      </w:r>
      <w:r>
        <w:rPr>
          <w:rFonts w:hint="eastAsia"/>
          <w:highlight w:val="none"/>
        </w:rPr>
        <w:t>在国家企业信用信息公示系统（www.gsxt.gov.cn）中被列入严重违法失信企业名单的投标人，不得参加投标</w:t>
      </w:r>
      <w:r>
        <w:rPr>
          <w:rFonts w:ascii="Times New Roman" w:hAnsi="Times New Roman"/>
          <w:szCs w:val="21"/>
          <w:highlight w:val="none"/>
        </w:rPr>
        <w:t>；</w:t>
      </w:r>
    </w:p>
    <w:p>
      <w:pPr>
        <w:widowControl/>
        <w:spacing w:line="360" w:lineRule="auto"/>
        <w:ind w:firstLine="440" w:firstLineChars="200"/>
        <w:rPr>
          <w:highlight w:val="none"/>
        </w:rPr>
      </w:pPr>
      <w:r>
        <w:rPr>
          <w:rFonts w:hint="eastAsia"/>
          <w:highlight w:val="none"/>
          <w:lang w:val="en-US"/>
        </w:rPr>
        <w:t>(2)</w:t>
      </w:r>
      <w:r>
        <w:rPr>
          <w:rFonts w:hint="eastAsia"/>
          <w:highlight w:val="none"/>
        </w:rPr>
        <w:t>在“信用中国”网站（www.creditchina.gov.cn）中被列入失信被执行人名单的投标人，不得参加投标。</w:t>
      </w:r>
    </w:p>
    <w:p>
      <w:pPr>
        <w:widowControl/>
        <w:spacing w:line="360" w:lineRule="auto"/>
        <w:ind w:firstLine="519" w:firstLineChars="235"/>
        <w:rPr>
          <w:b/>
          <w:bCs/>
          <w:highlight w:val="none"/>
          <w:lang w:val="en-US"/>
        </w:rPr>
      </w:pPr>
      <w:r>
        <w:rPr>
          <w:rFonts w:hint="eastAsia"/>
          <w:b/>
          <w:bCs/>
          <w:highlight w:val="none"/>
          <w:lang w:val="en-US"/>
        </w:rPr>
        <w:t>3.5其他要求：</w:t>
      </w:r>
    </w:p>
    <w:p>
      <w:pPr>
        <w:widowControl/>
        <w:spacing w:line="360" w:lineRule="auto"/>
        <w:ind w:firstLine="517" w:firstLineChars="235"/>
        <w:rPr>
          <w:highlight w:val="none"/>
          <w:lang w:val="en-US"/>
        </w:rPr>
      </w:pPr>
      <w:r>
        <w:rPr>
          <w:rFonts w:hint="eastAsia"/>
          <w:highlight w:val="none"/>
          <w:lang w:val="en-US"/>
        </w:rPr>
        <w:t>3.5.1与招标人存在利害关系可能影响招标公正性的法人、其他组织或者个人，不得参加投标。</w:t>
      </w:r>
    </w:p>
    <w:p>
      <w:pPr>
        <w:widowControl/>
        <w:spacing w:line="360" w:lineRule="auto"/>
        <w:ind w:firstLine="517" w:firstLineChars="235"/>
        <w:rPr>
          <w:highlight w:val="none"/>
          <w:lang w:val="en-US"/>
        </w:rPr>
      </w:pPr>
      <w:r>
        <w:rPr>
          <w:rFonts w:hint="eastAsia"/>
          <w:highlight w:val="none"/>
          <w:lang w:val="en-US"/>
        </w:rPr>
        <w:t>3.5.2投标单位负责人为同一人或者存在控股、管理关系的不同单位，不得同时参加投标，否则相关投标均无效。</w:t>
      </w:r>
    </w:p>
    <w:p>
      <w:pPr>
        <w:widowControl/>
        <w:spacing w:line="360" w:lineRule="auto"/>
        <w:ind w:firstLine="517" w:firstLineChars="235"/>
        <w:rPr>
          <w:highlight w:val="none"/>
          <w:lang w:val="en-US"/>
        </w:rPr>
      </w:pPr>
      <w:r>
        <w:rPr>
          <w:rFonts w:hint="eastAsia"/>
          <w:highlight w:val="none"/>
          <w:lang w:val="en-US"/>
        </w:rPr>
        <w:t>3.5.3本次招标采取资格后审方式，不接受联合体投标，不允许分包和转包。</w:t>
      </w:r>
    </w:p>
    <w:p>
      <w:pPr>
        <w:pStyle w:val="4"/>
        <w:tabs>
          <w:tab w:val="left" w:pos="802"/>
        </w:tabs>
        <w:spacing w:before="46"/>
        <w:ind w:left="0" w:firstLine="241" w:firstLineChars="100"/>
        <w:rPr>
          <w:rFonts w:ascii="宋体" w:hAnsi="宋体" w:eastAsia="宋体" w:cs="宋体"/>
          <w:sz w:val="24"/>
          <w:szCs w:val="24"/>
          <w:highlight w:val="none"/>
        </w:rPr>
      </w:pPr>
      <w:bookmarkStart w:id="14" w:name="_bookmark5"/>
      <w:bookmarkEnd w:id="14"/>
      <w:bookmarkStart w:id="15" w:name="_Toc9787"/>
      <w:bookmarkStart w:id="16" w:name="_Toc9884"/>
      <w:r>
        <w:rPr>
          <w:rFonts w:hint="eastAsia" w:ascii="宋体" w:hAnsi="宋体" w:eastAsia="宋体" w:cs="宋体"/>
          <w:sz w:val="24"/>
          <w:szCs w:val="24"/>
          <w:highlight w:val="none"/>
          <w:lang w:val="en-US"/>
        </w:rPr>
        <w:t>4.</w:t>
      </w:r>
      <w:r>
        <w:rPr>
          <w:rFonts w:hint="eastAsia" w:ascii="宋体" w:hAnsi="宋体" w:eastAsia="宋体" w:cs="宋体"/>
          <w:sz w:val="24"/>
          <w:szCs w:val="24"/>
          <w:highlight w:val="none"/>
        </w:rPr>
        <w:t>招标文件的获取</w:t>
      </w:r>
      <w:bookmarkEnd w:id="15"/>
      <w:bookmarkEnd w:id="16"/>
    </w:p>
    <w:p>
      <w:pPr>
        <w:adjustRightInd w:val="0"/>
        <w:snapToGrid w:val="0"/>
        <w:spacing w:line="360" w:lineRule="auto"/>
        <w:ind w:right="-330" w:rightChars="-150" w:firstLine="420" w:firstLineChars="200"/>
        <w:textAlignment w:val="baseline"/>
        <w:rPr>
          <w:szCs w:val="21"/>
          <w:highlight w:val="none"/>
        </w:rPr>
      </w:pPr>
      <w:bookmarkStart w:id="17" w:name="_Toc16114"/>
      <w:r>
        <w:rPr>
          <w:rFonts w:hint="eastAsia" w:cs="Times New Roman"/>
          <w:kern w:val="2"/>
          <w:sz w:val="21"/>
          <w:highlight w:val="none"/>
          <w:lang w:val="en-US" w:bidi="ar-SA"/>
        </w:rPr>
        <w:t xml:space="preserve">4.1 </w:t>
      </w:r>
      <w:r>
        <w:rPr>
          <w:rFonts w:hint="eastAsia"/>
          <w:szCs w:val="21"/>
          <w:highlight w:val="none"/>
        </w:rPr>
        <w:t>凡有意参加</w:t>
      </w:r>
      <w:r>
        <w:rPr>
          <w:rFonts w:hint="eastAsia"/>
          <w:szCs w:val="21"/>
          <w:highlight w:val="none"/>
          <w:lang w:val="en-US"/>
        </w:rPr>
        <w:t>投标</w:t>
      </w:r>
      <w:r>
        <w:rPr>
          <w:rFonts w:hint="eastAsia"/>
          <w:szCs w:val="21"/>
          <w:highlight w:val="none"/>
        </w:rPr>
        <w:t>者，请于</w:t>
      </w:r>
      <w:r>
        <w:rPr>
          <w:rFonts w:hint="eastAsia"/>
          <w:b/>
          <w:bCs/>
          <w:szCs w:val="21"/>
          <w:highlight w:val="none"/>
          <w:u w:val="single"/>
          <w:lang w:val="en-US"/>
        </w:rPr>
        <w:t xml:space="preserve"> </w:t>
      </w:r>
      <w:r>
        <w:rPr>
          <w:rFonts w:hint="eastAsia"/>
          <w:b/>
          <w:bCs/>
          <w:szCs w:val="21"/>
          <w:highlight w:val="none"/>
          <w:u w:val="single"/>
        </w:rPr>
        <w:t>20</w:t>
      </w:r>
      <w:r>
        <w:rPr>
          <w:rFonts w:hint="eastAsia"/>
          <w:b/>
          <w:bCs/>
          <w:szCs w:val="21"/>
          <w:highlight w:val="none"/>
          <w:u w:val="single"/>
          <w:lang w:val="en-US"/>
        </w:rPr>
        <w:t>2</w:t>
      </w:r>
      <w:r>
        <w:rPr>
          <w:rFonts w:hint="eastAsia"/>
          <w:b/>
          <w:bCs/>
          <w:szCs w:val="21"/>
          <w:highlight w:val="none"/>
          <w:u w:val="single"/>
          <w:lang w:val="en-US" w:eastAsia="zh-CN"/>
        </w:rPr>
        <w:t>1</w:t>
      </w:r>
      <w:r>
        <w:rPr>
          <w:rFonts w:hint="eastAsia"/>
          <w:b/>
          <w:bCs/>
          <w:szCs w:val="21"/>
          <w:highlight w:val="none"/>
          <w:u w:val="single"/>
          <w:lang w:val="en-US"/>
        </w:rPr>
        <w:t xml:space="preserve"> </w:t>
      </w:r>
      <w:r>
        <w:rPr>
          <w:rFonts w:hint="eastAsia"/>
          <w:b/>
          <w:bCs/>
          <w:szCs w:val="21"/>
          <w:highlight w:val="none"/>
        </w:rPr>
        <w:t>年</w:t>
      </w:r>
      <w:r>
        <w:rPr>
          <w:rFonts w:hint="eastAsia"/>
          <w:b/>
          <w:bCs/>
          <w:szCs w:val="21"/>
          <w:highlight w:val="none"/>
          <w:u w:val="single"/>
          <w:lang w:val="en-US"/>
        </w:rPr>
        <w:t xml:space="preserve"> 0</w:t>
      </w:r>
      <w:r>
        <w:rPr>
          <w:rFonts w:hint="eastAsia"/>
          <w:b/>
          <w:bCs/>
          <w:szCs w:val="21"/>
          <w:highlight w:val="none"/>
          <w:u w:val="single"/>
          <w:lang w:val="en-US" w:eastAsia="zh-CN"/>
        </w:rPr>
        <w:t xml:space="preserve">7 </w:t>
      </w:r>
      <w:r>
        <w:rPr>
          <w:rFonts w:hint="eastAsia"/>
          <w:b/>
          <w:bCs/>
          <w:szCs w:val="21"/>
          <w:highlight w:val="none"/>
        </w:rPr>
        <w:t>月</w:t>
      </w:r>
      <w:r>
        <w:rPr>
          <w:rFonts w:hint="eastAsia"/>
          <w:b/>
          <w:bCs/>
          <w:szCs w:val="21"/>
          <w:highlight w:val="none"/>
          <w:u w:val="single"/>
          <w:lang w:val="en-US"/>
        </w:rPr>
        <w:t xml:space="preserve"> </w:t>
      </w:r>
      <w:r>
        <w:rPr>
          <w:rFonts w:hint="eastAsia"/>
          <w:b/>
          <w:bCs/>
          <w:szCs w:val="21"/>
          <w:highlight w:val="none"/>
          <w:u w:val="single"/>
          <w:lang w:val="en-US" w:eastAsia="zh-CN"/>
        </w:rPr>
        <w:t xml:space="preserve">15 </w:t>
      </w:r>
      <w:r>
        <w:rPr>
          <w:rFonts w:hint="eastAsia"/>
          <w:b/>
          <w:bCs/>
          <w:szCs w:val="21"/>
          <w:highlight w:val="none"/>
        </w:rPr>
        <w:t>日</w:t>
      </w:r>
      <w:r>
        <w:rPr>
          <w:rFonts w:hint="eastAsia"/>
          <w:szCs w:val="21"/>
          <w:highlight w:val="none"/>
        </w:rPr>
        <w:t>起在</w:t>
      </w:r>
      <w:r>
        <w:rPr>
          <w:rFonts w:hint="eastAsia"/>
          <w:b/>
          <w:bCs/>
          <w:szCs w:val="21"/>
          <w:highlight w:val="none"/>
          <w:lang w:val="en-US"/>
        </w:rPr>
        <w:t>贵州交通建设集团有限公司（www.gzjjjt.com.cn）</w:t>
      </w:r>
      <w:r>
        <w:rPr>
          <w:rFonts w:hint="eastAsia"/>
          <w:szCs w:val="21"/>
          <w:highlight w:val="none"/>
          <w:lang w:val="en-US"/>
        </w:rPr>
        <w:t>下</w:t>
      </w:r>
      <w:r>
        <w:rPr>
          <w:rFonts w:hint="eastAsia"/>
          <w:szCs w:val="21"/>
          <w:highlight w:val="none"/>
        </w:rPr>
        <w:t>载本招标项目的招标文件、答疑、补遗等所有招标相关资料。</w:t>
      </w:r>
    </w:p>
    <w:p>
      <w:pPr>
        <w:adjustRightInd w:val="0"/>
        <w:snapToGrid w:val="0"/>
        <w:spacing w:line="360" w:lineRule="auto"/>
        <w:ind w:firstLine="420" w:firstLineChars="191"/>
        <w:textAlignment w:val="baseline"/>
        <w:rPr>
          <w:szCs w:val="21"/>
          <w:highlight w:val="none"/>
        </w:rPr>
      </w:pPr>
      <w:r>
        <w:rPr>
          <w:rFonts w:hint="eastAsia"/>
          <w:szCs w:val="21"/>
          <w:highlight w:val="none"/>
          <w:lang w:val="en-US"/>
        </w:rPr>
        <w:t>4</w:t>
      </w:r>
      <w:r>
        <w:rPr>
          <w:rFonts w:hint="eastAsia"/>
          <w:szCs w:val="21"/>
          <w:highlight w:val="none"/>
        </w:rPr>
        <w:t>.</w:t>
      </w:r>
      <w:r>
        <w:rPr>
          <w:rFonts w:hint="eastAsia"/>
          <w:szCs w:val="21"/>
          <w:highlight w:val="none"/>
          <w:lang w:val="en-US"/>
        </w:rPr>
        <w:t>2</w:t>
      </w:r>
      <w:r>
        <w:rPr>
          <w:rFonts w:hint="eastAsia"/>
          <w:szCs w:val="21"/>
          <w:highlight w:val="none"/>
        </w:rPr>
        <w:t>招标文件不收取费用。</w:t>
      </w:r>
    </w:p>
    <w:p>
      <w:pPr>
        <w:adjustRightInd w:val="0"/>
        <w:snapToGrid w:val="0"/>
        <w:spacing w:line="360" w:lineRule="auto"/>
        <w:ind w:firstLine="420" w:firstLineChars="191"/>
        <w:textAlignment w:val="baseline"/>
        <w:rPr>
          <w:szCs w:val="21"/>
          <w:highlight w:val="none"/>
        </w:rPr>
      </w:pPr>
      <w:r>
        <w:rPr>
          <w:rFonts w:hint="eastAsia"/>
          <w:szCs w:val="21"/>
          <w:highlight w:val="none"/>
          <w:lang w:val="en-US"/>
        </w:rPr>
        <w:t>4</w:t>
      </w:r>
      <w:r>
        <w:rPr>
          <w:rFonts w:hint="eastAsia"/>
          <w:szCs w:val="21"/>
          <w:highlight w:val="none"/>
        </w:rPr>
        <w:t>.</w:t>
      </w:r>
      <w:r>
        <w:rPr>
          <w:rFonts w:hint="eastAsia"/>
          <w:szCs w:val="21"/>
          <w:highlight w:val="none"/>
          <w:lang w:val="en-US"/>
        </w:rPr>
        <w:t>3</w:t>
      </w:r>
      <w:r>
        <w:rPr>
          <w:rFonts w:hint="eastAsia"/>
          <w:szCs w:val="21"/>
          <w:highlight w:val="none"/>
        </w:rPr>
        <w:t>招标人不组织库房现场踏勘，不召开投标预备会。</w:t>
      </w:r>
    </w:p>
    <w:p>
      <w:pPr>
        <w:pStyle w:val="4"/>
        <w:tabs>
          <w:tab w:val="left" w:pos="802"/>
        </w:tabs>
        <w:spacing w:before="46"/>
        <w:ind w:left="0" w:firstLine="241" w:firstLineChars="100"/>
        <w:rPr>
          <w:rFonts w:ascii="宋体" w:hAnsi="宋体" w:eastAsia="宋体" w:cs="宋体"/>
          <w:sz w:val="24"/>
          <w:szCs w:val="24"/>
          <w:highlight w:val="none"/>
        </w:rPr>
      </w:pPr>
      <w:bookmarkStart w:id="18" w:name="_Toc5129"/>
      <w:r>
        <w:rPr>
          <w:rFonts w:hint="eastAsia" w:ascii="宋体" w:hAnsi="宋体" w:eastAsia="宋体" w:cs="宋体"/>
          <w:sz w:val="24"/>
          <w:szCs w:val="24"/>
          <w:highlight w:val="none"/>
          <w:lang w:val="en-US"/>
        </w:rPr>
        <w:t>5.</w:t>
      </w:r>
      <w:r>
        <w:rPr>
          <w:rFonts w:hint="eastAsia" w:ascii="宋体" w:hAnsi="宋体" w:eastAsia="宋体" w:cs="宋体"/>
          <w:sz w:val="24"/>
          <w:szCs w:val="24"/>
          <w:highlight w:val="none"/>
        </w:rPr>
        <w:t>投标文件的递交</w:t>
      </w:r>
      <w:bookmarkEnd w:id="17"/>
      <w:bookmarkEnd w:id="18"/>
    </w:p>
    <w:p>
      <w:pPr>
        <w:adjustRightInd w:val="0"/>
        <w:snapToGrid w:val="0"/>
        <w:spacing w:line="480" w:lineRule="auto"/>
        <w:ind w:firstLine="420" w:firstLineChars="191"/>
        <w:textAlignment w:val="baseline"/>
        <w:rPr>
          <w:szCs w:val="21"/>
          <w:highlight w:val="none"/>
        </w:rPr>
      </w:pPr>
      <w:r>
        <w:rPr>
          <w:rFonts w:hint="eastAsia"/>
          <w:szCs w:val="21"/>
          <w:highlight w:val="none"/>
          <w:lang w:val="en-US"/>
        </w:rPr>
        <w:t>5</w:t>
      </w:r>
      <w:r>
        <w:rPr>
          <w:rFonts w:hint="eastAsia"/>
          <w:szCs w:val="21"/>
          <w:highlight w:val="none"/>
        </w:rPr>
        <w:t>.1</w:t>
      </w:r>
      <w:r>
        <w:rPr>
          <w:szCs w:val="21"/>
          <w:highlight w:val="none"/>
        </w:rPr>
        <w:t>投标文件递交的截止时间为</w:t>
      </w:r>
      <w:r>
        <w:rPr>
          <w:rFonts w:hint="eastAsia"/>
          <w:b/>
          <w:bCs/>
          <w:szCs w:val="21"/>
          <w:highlight w:val="none"/>
          <w:u w:val="single"/>
          <w:lang w:val="en-US"/>
        </w:rPr>
        <w:t xml:space="preserve"> </w:t>
      </w:r>
      <w:r>
        <w:rPr>
          <w:rFonts w:hint="eastAsia"/>
          <w:b/>
          <w:bCs/>
          <w:szCs w:val="21"/>
          <w:highlight w:val="none"/>
          <w:u w:val="single"/>
        </w:rPr>
        <w:t>20</w:t>
      </w:r>
      <w:r>
        <w:rPr>
          <w:rFonts w:hint="eastAsia"/>
          <w:b/>
          <w:bCs/>
          <w:szCs w:val="21"/>
          <w:highlight w:val="none"/>
          <w:u w:val="single"/>
          <w:lang w:val="en-US"/>
        </w:rPr>
        <w:t>2</w:t>
      </w:r>
      <w:r>
        <w:rPr>
          <w:rFonts w:hint="eastAsia"/>
          <w:b/>
          <w:bCs/>
          <w:szCs w:val="21"/>
          <w:highlight w:val="none"/>
          <w:u w:val="single"/>
          <w:lang w:val="en-US" w:eastAsia="zh-CN"/>
        </w:rPr>
        <w:t>1</w:t>
      </w:r>
      <w:r>
        <w:rPr>
          <w:rFonts w:hint="eastAsia"/>
          <w:b/>
          <w:bCs/>
          <w:szCs w:val="21"/>
          <w:highlight w:val="none"/>
          <w:u w:val="single"/>
          <w:lang w:val="en-US"/>
        </w:rPr>
        <w:t xml:space="preserve"> </w:t>
      </w:r>
      <w:r>
        <w:rPr>
          <w:b/>
          <w:bCs/>
          <w:szCs w:val="21"/>
          <w:highlight w:val="none"/>
        </w:rPr>
        <w:t>年</w:t>
      </w:r>
      <w:r>
        <w:rPr>
          <w:rFonts w:hint="eastAsia"/>
          <w:b/>
          <w:bCs/>
          <w:szCs w:val="21"/>
          <w:highlight w:val="none"/>
          <w:u w:val="single"/>
          <w:lang w:val="en-US" w:eastAsia="zh-CN"/>
        </w:rPr>
        <w:t xml:space="preserve"> 8 </w:t>
      </w:r>
      <w:r>
        <w:rPr>
          <w:b/>
          <w:bCs/>
          <w:szCs w:val="21"/>
          <w:highlight w:val="none"/>
        </w:rPr>
        <w:t>月</w:t>
      </w:r>
      <w:r>
        <w:rPr>
          <w:rFonts w:hint="eastAsia"/>
          <w:b/>
          <w:bCs/>
          <w:szCs w:val="21"/>
          <w:highlight w:val="none"/>
          <w:u w:val="single"/>
          <w:lang w:val="en-US"/>
        </w:rPr>
        <w:t xml:space="preserve"> </w:t>
      </w:r>
      <w:r>
        <w:rPr>
          <w:rFonts w:hint="eastAsia"/>
          <w:b/>
          <w:bCs/>
          <w:szCs w:val="21"/>
          <w:highlight w:val="none"/>
          <w:u w:val="single"/>
          <w:lang w:val="en-US" w:eastAsia="zh-CN"/>
        </w:rPr>
        <w:t xml:space="preserve">4 </w:t>
      </w:r>
      <w:r>
        <w:rPr>
          <w:b/>
          <w:bCs/>
          <w:szCs w:val="21"/>
          <w:highlight w:val="none"/>
        </w:rPr>
        <w:t>日</w:t>
      </w:r>
      <w:r>
        <w:rPr>
          <w:rFonts w:hint="eastAsia"/>
          <w:b/>
          <w:bCs/>
          <w:szCs w:val="21"/>
          <w:highlight w:val="none"/>
          <w:lang w:val="en-US" w:eastAsia="zh-CN"/>
        </w:rPr>
        <w:t>09</w:t>
      </w:r>
      <w:r>
        <w:rPr>
          <w:b/>
          <w:bCs/>
          <w:szCs w:val="21"/>
          <w:highlight w:val="none"/>
        </w:rPr>
        <w:t>:</w:t>
      </w:r>
      <w:r>
        <w:rPr>
          <w:rFonts w:hint="eastAsia"/>
          <w:b/>
          <w:bCs/>
          <w:szCs w:val="21"/>
          <w:highlight w:val="none"/>
          <w:lang w:val="en-US" w:eastAsia="zh-CN"/>
        </w:rPr>
        <w:t>3</w:t>
      </w:r>
      <w:r>
        <w:rPr>
          <w:b/>
          <w:bCs/>
          <w:szCs w:val="21"/>
          <w:highlight w:val="none"/>
        </w:rPr>
        <w:t>0</w:t>
      </w:r>
      <w:r>
        <w:rPr>
          <w:szCs w:val="21"/>
          <w:highlight w:val="none"/>
        </w:rPr>
        <w:t>(北京时间</w:t>
      </w:r>
      <w:r>
        <w:rPr>
          <w:rFonts w:hint="eastAsia"/>
          <w:szCs w:val="21"/>
          <w:highlight w:val="none"/>
        </w:rPr>
        <w:t>，下同</w:t>
      </w:r>
      <w:r>
        <w:rPr>
          <w:szCs w:val="21"/>
          <w:highlight w:val="none"/>
        </w:rPr>
        <w:t>)，投标</w:t>
      </w:r>
      <w:r>
        <w:rPr>
          <w:rFonts w:hint="eastAsia"/>
          <w:szCs w:val="21"/>
          <w:highlight w:val="none"/>
        </w:rPr>
        <w:t>人应于当日</w:t>
      </w:r>
      <w:r>
        <w:rPr>
          <w:rFonts w:hint="eastAsia"/>
          <w:b/>
          <w:bCs/>
          <w:szCs w:val="21"/>
          <w:highlight w:val="none"/>
          <w:lang w:val="en-US" w:eastAsia="zh-CN"/>
        </w:rPr>
        <w:t>09</w:t>
      </w:r>
      <w:r>
        <w:rPr>
          <w:b/>
          <w:bCs/>
          <w:szCs w:val="21"/>
          <w:highlight w:val="none"/>
        </w:rPr>
        <w:t>:</w:t>
      </w:r>
      <w:r>
        <w:rPr>
          <w:rFonts w:hint="eastAsia"/>
          <w:b/>
          <w:bCs/>
          <w:szCs w:val="21"/>
          <w:highlight w:val="none"/>
          <w:lang w:val="en-US" w:eastAsia="zh-CN"/>
        </w:rPr>
        <w:t>0</w:t>
      </w:r>
      <w:r>
        <w:rPr>
          <w:rFonts w:hint="eastAsia"/>
          <w:b/>
          <w:bCs/>
          <w:szCs w:val="21"/>
          <w:highlight w:val="none"/>
          <w:lang w:val="en-US"/>
        </w:rPr>
        <w:t>0</w:t>
      </w:r>
      <w:r>
        <w:rPr>
          <w:b/>
          <w:bCs/>
          <w:szCs w:val="21"/>
          <w:highlight w:val="none"/>
        </w:rPr>
        <w:t>至</w:t>
      </w:r>
      <w:r>
        <w:rPr>
          <w:rFonts w:hint="eastAsia"/>
          <w:b/>
          <w:bCs/>
          <w:szCs w:val="21"/>
          <w:highlight w:val="none"/>
          <w:lang w:val="en-US" w:eastAsia="zh-CN"/>
        </w:rPr>
        <w:t>09</w:t>
      </w:r>
      <w:r>
        <w:rPr>
          <w:b/>
          <w:bCs/>
          <w:szCs w:val="21"/>
          <w:highlight w:val="none"/>
        </w:rPr>
        <w:t>:</w:t>
      </w:r>
      <w:r>
        <w:rPr>
          <w:rFonts w:hint="eastAsia"/>
          <w:b/>
          <w:bCs/>
          <w:szCs w:val="21"/>
          <w:highlight w:val="none"/>
          <w:lang w:val="en-US" w:eastAsia="zh-CN"/>
        </w:rPr>
        <w:t>3</w:t>
      </w:r>
      <w:r>
        <w:rPr>
          <w:rFonts w:hint="eastAsia"/>
          <w:b/>
          <w:bCs/>
          <w:szCs w:val="21"/>
          <w:highlight w:val="none"/>
          <w:lang w:val="en-US"/>
        </w:rPr>
        <w:t>0</w:t>
      </w:r>
      <w:r>
        <w:rPr>
          <w:szCs w:val="21"/>
          <w:highlight w:val="none"/>
        </w:rPr>
        <w:t>递交至</w:t>
      </w:r>
      <w:r>
        <w:rPr>
          <w:rFonts w:hint="eastAsia"/>
          <w:szCs w:val="21"/>
          <w:highlight w:val="none"/>
        </w:rPr>
        <w:t>贵州省贵阳市东方现代钢材市场招标人指定会议室，</w:t>
      </w:r>
      <w:r>
        <w:rPr>
          <w:szCs w:val="21"/>
          <w:highlight w:val="none"/>
        </w:rPr>
        <w:t>招标人定于投标文件送交截止的同一时间、同一地点举行公开开标</w:t>
      </w:r>
      <w:r>
        <w:rPr>
          <w:rFonts w:hint="eastAsia"/>
          <w:szCs w:val="21"/>
          <w:highlight w:val="none"/>
        </w:rPr>
        <w:t>，投标人应派其法定代表人或授权代表出席。（若因新型冠状病毒疫情影响，</w:t>
      </w:r>
      <w:r>
        <w:rPr>
          <w:rFonts w:hint="eastAsia"/>
          <w:szCs w:val="21"/>
          <w:highlight w:val="none"/>
          <w:lang w:val="en-US"/>
        </w:rPr>
        <w:t>届时</w:t>
      </w:r>
      <w:r>
        <w:rPr>
          <w:rFonts w:hint="eastAsia"/>
          <w:szCs w:val="21"/>
          <w:highlight w:val="none"/>
        </w:rPr>
        <w:t>不能现场递交</w:t>
      </w:r>
      <w:r>
        <w:rPr>
          <w:rFonts w:hint="eastAsia"/>
          <w:szCs w:val="21"/>
          <w:highlight w:val="none"/>
          <w:lang w:val="en-US"/>
        </w:rPr>
        <w:t>投标</w:t>
      </w:r>
      <w:r>
        <w:rPr>
          <w:rFonts w:hint="eastAsia"/>
          <w:szCs w:val="21"/>
          <w:highlight w:val="none"/>
        </w:rPr>
        <w:t>文件，将采取</w:t>
      </w:r>
      <w:r>
        <w:rPr>
          <w:rFonts w:hint="eastAsia"/>
          <w:szCs w:val="21"/>
          <w:highlight w:val="none"/>
          <w:lang w:val="en-US"/>
        </w:rPr>
        <w:t>澄清</w:t>
      </w:r>
      <w:r>
        <w:rPr>
          <w:rFonts w:hint="eastAsia"/>
          <w:szCs w:val="21"/>
          <w:highlight w:val="none"/>
        </w:rPr>
        <w:t>方式另行通知递交</w:t>
      </w:r>
      <w:r>
        <w:rPr>
          <w:rFonts w:hint="eastAsia"/>
          <w:szCs w:val="21"/>
          <w:highlight w:val="none"/>
          <w:lang w:val="en-US"/>
        </w:rPr>
        <w:t>投标</w:t>
      </w:r>
      <w:r>
        <w:rPr>
          <w:rFonts w:hint="eastAsia"/>
          <w:szCs w:val="21"/>
          <w:highlight w:val="none"/>
        </w:rPr>
        <w:t>文件时间及方式）。</w:t>
      </w:r>
    </w:p>
    <w:p>
      <w:pPr>
        <w:adjustRightInd w:val="0"/>
        <w:spacing w:line="360" w:lineRule="auto"/>
        <w:ind w:firstLine="440" w:firstLineChars="200"/>
        <w:rPr>
          <w:highlight w:val="none"/>
        </w:rPr>
      </w:pPr>
      <w:r>
        <w:rPr>
          <w:rFonts w:hint="eastAsia"/>
          <w:szCs w:val="21"/>
          <w:highlight w:val="none"/>
          <w:lang w:val="en-US"/>
        </w:rPr>
        <w:t>5</w:t>
      </w:r>
      <w:r>
        <w:rPr>
          <w:rFonts w:hint="eastAsia"/>
          <w:szCs w:val="21"/>
          <w:highlight w:val="none"/>
        </w:rPr>
        <w:t>.2 逾期送达的或者未送达指定地点的投标文件，招标人不予受理。</w:t>
      </w:r>
    </w:p>
    <w:p>
      <w:pPr>
        <w:pStyle w:val="4"/>
        <w:tabs>
          <w:tab w:val="left" w:pos="802"/>
        </w:tabs>
        <w:spacing w:before="46"/>
        <w:ind w:left="0" w:firstLine="241" w:firstLineChars="100"/>
        <w:rPr>
          <w:rFonts w:ascii="宋体" w:hAnsi="宋体" w:eastAsia="宋体" w:cs="宋体"/>
          <w:sz w:val="24"/>
          <w:szCs w:val="24"/>
          <w:highlight w:val="none"/>
        </w:rPr>
      </w:pPr>
      <w:bookmarkStart w:id="19" w:name="_bookmark8"/>
      <w:bookmarkEnd w:id="19"/>
      <w:bookmarkStart w:id="20" w:name="_Toc3046"/>
      <w:bookmarkStart w:id="21" w:name="_Toc23800"/>
      <w:r>
        <w:rPr>
          <w:rFonts w:hint="eastAsia" w:ascii="宋体" w:hAnsi="宋体" w:eastAsia="宋体" w:cs="宋体"/>
          <w:sz w:val="24"/>
          <w:szCs w:val="24"/>
          <w:highlight w:val="none"/>
          <w:lang w:val="en-US"/>
        </w:rPr>
        <w:t>6.</w:t>
      </w:r>
      <w:r>
        <w:rPr>
          <w:rFonts w:hint="eastAsia" w:ascii="宋体" w:hAnsi="宋体" w:eastAsia="宋体" w:cs="宋体"/>
          <w:sz w:val="24"/>
          <w:szCs w:val="24"/>
          <w:highlight w:val="none"/>
        </w:rPr>
        <w:t>联系方式</w:t>
      </w:r>
      <w:bookmarkEnd w:id="20"/>
      <w:bookmarkEnd w:id="21"/>
    </w:p>
    <w:p>
      <w:pPr>
        <w:pStyle w:val="11"/>
        <w:tabs>
          <w:tab w:val="left" w:pos="4528"/>
          <w:tab w:val="left" w:pos="8290"/>
        </w:tabs>
        <w:spacing w:before="299"/>
        <w:ind w:right="1445" w:firstLine="440" w:firstLineChars="200"/>
        <w:jc w:val="both"/>
        <w:rPr>
          <w:sz w:val="22"/>
          <w:szCs w:val="22"/>
          <w:highlight w:val="none"/>
        </w:rPr>
      </w:pPr>
      <w:r>
        <w:rPr>
          <w:rFonts w:hint="eastAsia"/>
          <w:sz w:val="22"/>
          <w:szCs w:val="22"/>
          <w:highlight w:val="none"/>
        </w:rPr>
        <w:t>招标人：贵州交投商贸物流有限公司</w:t>
      </w:r>
    </w:p>
    <w:p>
      <w:pPr>
        <w:pStyle w:val="11"/>
        <w:tabs>
          <w:tab w:val="left" w:pos="4528"/>
          <w:tab w:val="left" w:pos="8290"/>
        </w:tabs>
        <w:spacing w:before="299"/>
        <w:ind w:right="1445" w:firstLine="440" w:firstLineChars="200"/>
        <w:jc w:val="both"/>
        <w:rPr>
          <w:sz w:val="22"/>
          <w:szCs w:val="22"/>
          <w:highlight w:val="none"/>
        </w:rPr>
      </w:pPr>
      <w:r>
        <w:rPr>
          <w:rFonts w:hint="eastAsia"/>
          <w:sz w:val="22"/>
          <w:szCs w:val="22"/>
          <w:highlight w:val="none"/>
        </w:rPr>
        <w:t>地  址：贵州省贵阳市南明区二戈寨东方现代钢材市场1号楼4层68号</w:t>
      </w:r>
    </w:p>
    <w:p>
      <w:pPr>
        <w:pStyle w:val="11"/>
        <w:tabs>
          <w:tab w:val="left" w:pos="4528"/>
          <w:tab w:val="left" w:pos="8290"/>
        </w:tabs>
        <w:spacing w:before="299"/>
        <w:ind w:right="1446" w:firstLine="440" w:firstLineChars="200"/>
        <w:jc w:val="both"/>
        <w:rPr>
          <w:rFonts w:hint="eastAsia" w:eastAsia="宋体"/>
          <w:sz w:val="22"/>
          <w:szCs w:val="22"/>
          <w:highlight w:val="none"/>
          <w:lang w:val="en-US" w:eastAsia="zh-CN"/>
        </w:rPr>
      </w:pPr>
      <w:r>
        <w:rPr>
          <w:rFonts w:hint="eastAsia"/>
          <w:sz w:val="22"/>
          <w:szCs w:val="22"/>
          <w:highlight w:val="none"/>
          <w:lang w:val="en-US"/>
        </w:rPr>
        <w:t>技术联系人：</w:t>
      </w:r>
      <w:r>
        <w:rPr>
          <w:rFonts w:hint="eastAsia"/>
          <w:sz w:val="22"/>
          <w:szCs w:val="22"/>
          <w:highlight w:val="none"/>
          <w:lang w:val="en-US" w:eastAsia="zh-CN"/>
        </w:rPr>
        <w:t>彭兴</w:t>
      </w:r>
    </w:p>
    <w:p>
      <w:pPr>
        <w:pStyle w:val="11"/>
        <w:tabs>
          <w:tab w:val="left" w:pos="4528"/>
          <w:tab w:val="left" w:pos="8290"/>
        </w:tabs>
        <w:spacing w:before="299"/>
        <w:ind w:right="1446" w:firstLine="440" w:firstLineChars="200"/>
        <w:jc w:val="both"/>
        <w:rPr>
          <w:rFonts w:hint="default" w:eastAsia="宋体"/>
          <w:sz w:val="22"/>
          <w:szCs w:val="22"/>
          <w:highlight w:val="none"/>
          <w:lang w:val="en-US" w:eastAsia="zh-CN"/>
        </w:rPr>
      </w:pPr>
      <w:r>
        <w:rPr>
          <w:rFonts w:hint="eastAsia"/>
          <w:sz w:val="22"/>
          <w:szCs w:val="22"/>
          <w:highlight w:val="none"/>
          <w:lang w:val="en-US"/>
        </w:rPr>
        <w:t>电  话：</w:t>
      </w:r>
      <w:r>
        <w:rPr>
          <w:rFonts w:hint="eastAsia"/>
          <w:sz w:val="22"/>
          <w:szCs w:val="22"/>
          <w:highlight w:val="none"/>
          <w:lang w:val="en-US" w:eastAsia="zh-CN"/>
        </w:rPr>
        <w:t>18786006980</w:t>
      </w:r>
    </w:p>
    <w:p>
      <w:pPr>
        <w:pStyle w:val="11"/>
        <w:tabs>
          <w:tab w:val="left" w:pos="4528"/>
          <w:tab w:val="left" w:pos="8290"/>
        </w:tabs>
        <w:spacing w:before="299"/>
        <w:ind w:right="1446" w:firstLine="440" w:firstLineChars="200"/>
        <w:jc w:val="both"/>
        <w:rPr>
          <w:sz w:val="22"/>
          <w:szCs w:val="22"/>
          <w:highlight w:val="none"/>
          <w:lang w:val="en-US"/>
        </w:rPr>
      </w:pPr>
      <w:r>
        <w:rPr>
          <w:rFonts w:hint="eastAsia"/>
          <w:sz w:val="22"/>
          <w:szCs w:val="22"/>
          <w:highlight w:val="none"/>
          <w:lang w:val="en-US"/>
        </w:rPr>
        <w:t>商务</w:t>
      </w:r>
      <w:r>
        <w:rPr>
          <w:rFonts w:hint="eastAsia"/>
          <w:sz w:val="22"/>
          <w:szCs w:val="22"/>
          <w:highlight w:val="none"/>
        </w:rPr>
        <w:t>联系人：</w:t>
      </w:r>
      <w:r>
        <w:rPr>
          <w:rFonts w:hint="eastAsia"/>
          <w:sz w:val="22"/>
          <w:szCs w:val="22"/>
          <w:highlight w:val="none"/>
          <w:lang w:val="en-US"/>
        </w:rPr>
        <w:t>伍红曲</w:t>
      </w:r>
    </w:p>
    <w:p>
      <w:pPr>
        <w:pStyle w:val="11"/>
        <w:tabs>
          <w:tab w:val="left" w:pos="4528"/>
          <w:tab w:val="left" w:pos="8290"/>
        </w:tabs>
        <w:spacing w:before="299"/>
        <w:ind w:right="1446" w:firstLine="440" w:firstLineChars="200"/>
        <w:jc w:val="both"/>
        <w:rPr>
          <w:sz w:val="22"/>
          <w:szCs w:val="22"/>
          <w:highlight w:val="none"/>
          <w:lang w:val="en-US"/>
        </w:rPr>
      </w:pPr>
      <w:r>
        <w:rPr>
          <w:rFonts w:hint="eastAsia"/>
          <w:sz w:val="22"/>
          <w:szCs w:val="22"/>
          <w:highlight w:val="none"/>
        </w:rPr>
        <w:t>电  话：</w:t>
      </w:r>
      <w:r>
        <w:rPr>
          <w:rFonts w:hint="eastAsia"/>
          <w:sz w:val="22"/>
          <w:szCs w:val="22"/>
          <w:highlight w:val="none"/>
          <w:lang w:val="en-US"/>
        </w:rPr>
        <w:t>13985404635</w:t>
      </w:r>
    </w:p>
    <w:p>
      <w:pPr>
        <w:pStyle w:val="11"/>
        <w:tabs>
          <w:tab w:val="left" w:pos="4528"/>
          <w:tab w:val="left" w:pos="8290"/>
        </w:tabs>
        <w:spacing w:before="299"/>
        <w:ind w:right="1446" w:firstLine="440" w:firstLineChars="200"/>
        <w:jc w:val="both"/>
        <w:rPr>
          <w:sz w:val="22"/>
          <w:szCs w:val="22"/>
          <w:highlight w:val="none"/>
          <w:lang w:val="en-US"/>
        </w:rPr>
      </w:pPr>
      <w:r>
        <w:rPr>
          <w:sz w:val="22"/>
          <w:szCs w:val="22"/>
          <w:highlight w:val="none"/>
        </w:rPr>
        <w:t>电子</w:t>
      </w:r>
      <w:r>
        <w:rPr>
          <w:spacing w:val="-3"/>
          <w:sz w:val="22"/>
          <w:szCs w:val="22"/>
          <w:highlight w:val="none"/>
        </w:rPr>
        <w:t>邮</w:t>
      </w:r>
      <w:r>
        <w:rPr>
          <w:sz w:val="22"/>
          <w:szCs w:val="22"/>
          <w:highlight w:val="none"/>
        </w:rPr>
        <w:t>件：</w:t>
      </w:r>
      <w:r>
        <w:rPr>
          <w:rFonts w:hint="eastAsia"/>
          <w:sz w:val="22"/>
          <w:szCs w:val="22"/>
          <w:highlight w:val="none"/>
          <w:lang w:val="en-US"/>
        </w:rPr>
        <w:t>13985404635@139.com</w:t>
      </w:r>
    </w:p>
    <w:p>
      <w:pPr>
        <w:pStyle w:val="11"/>
        <w:tabs>
          <w:tab w:val="left" w:pos="4528"/>
          <w:tab w:val="left" w:pos="8290"/>
        </w:tabs>
        <w:spacing w:before="299" w:line="357" w:lineRule="auto"/>
        <w:ind w:left="820" w:right="1445"/>
        <w:jc w:val="right"/>
        <w:rPr>
          <w:sz w:val="22"/>
          <w:szCs w:val="22"/>
          <w:highlight w:val="none"/>
          <w:lang w:val="en-US"/>
        </w:rPr>
      </w:pPr>
    </w:p>
    <w:p>
      <w:pPr>
        <w:pStyle w:val="11"/>
        <w:tabs>
          <w:tab w:val="left" w:pos="4528"/>
          <w:tab w:val="left" w:pos="8290"/>
        </w:tabs>
        <w:spacing w:before="299" w:line="357" w:lineRule="auto"/>
        <w:ind w:left="820" w:right="1445"/>
        <w:jc w:val="right"/>
        <w:rPr>
          <w:sz w:val="22"/>
          <w:szCs w:val="22"/>
          <w:highlight w:val="none"/>
          <w:lang w:val="en-US"/>
        </w:rPr>
      </w:pPr>
    </w:p>
    <w:p>
      <w:pPr>
        <w:spacing w:line="360" w:lineRule="auto"/>
        <w:jc w:val="right"/>
        <w:rPr>
          <w:szCs w:val="21"/>
          <w:highlight w:val="none"/>
          <w:lang w:val="en-US"/>
        </w:rPr>
      </w:pPr>
      <w:bookmarkStart w:id="22" w:name="_bookmark18"/>
      <w:bookmarkEnd w:id="22"/>
      <w:r>
        <w:rPr>
          <w:rFonts w:hint="eastAsia"/>
          <w:szCs w:val="21"/>
          <w:highlight w:val="none"/>
          <w:lang w:val="en-US"/>
        </w:rPr>
        <w:t xml:space="preserve">招标人：贵州交投商贸物流有限公司  </w:t>
      </w:r>
    </w:p>
    <w:p>
      <w:pPr>
        <w:pStyle w:val="11"/>
        <w:tabs>
          <w:tab w:val="left" w:pos="4528"/>
          <w:tab w:val="left" w:pos="8290"/>
        </w:tabs>
        <w:spacing w:before="299" w:line="357" w:lineRule="auto"/>
        <w:ind w:left="820"/>
        <w:jc w:val="right"/>
        <w:rPr>
          <w:sz w:val="22"/>
          <w:szCs w:val="22"/>
          <w:highlight w:val="none"/>
        </w:rPr>
      </w:pPr>
      <w:r>
        <w:rPr>
          <w:rFonts w:hint="eastAsia"/>
          <w:highlight w:val="none"/>
          <w:lang w:val="en-US"/>
        </w:rPr>
        <w:t xml:space="preserve">  </w:t>
      </w:r>
      <w:r>
        <w:rPr>
          <w:highlight w:val="none"/>
        </w:rPr>
        <w:t>20</w:t>
      </w:r>
      <w:r>
        <w:rPr>
          <w:rFonts w:hint="eastAsia"/>
          <w:highlight w:val="none"/>
          <w:lang w:val="en-US"/>
        </w:rPr>
        <w:t>2</w:t>
      </w:r>
      <w:r>
        <w:rPr>
          <w:rFonts w:hint="eastAsia"/>
          <w:highlight w:val="none"/>
          <w:lang w:val="en-US" w:eastAsia="zh-CN"/>
        </w:rPr>
        <w:t>1</w:t>
      </w:r>
      <w:r>
        <w:rPr>
          <w:rFonts w:hint="eastAsia"/>
          <w:highlight w:val="none"/>
        </w:rPr>
        <w:t>年</w:t>
      </w:r>
      <w:r>
        <w:rPr>
          <w:rFonts w:hint="eastAsia"/>
          <w:highlight w:val="none"/>
          <w:lang w:val="en-US" w:eastAsia="zh-CN"/>
        </w:rPr>
        <w:t>7</w:t>
      </w:r>
      <w:r>
        <w:rPr>
          <w:rFonts w:hint="eastAsia"/>
          <w:highlight w:val="none"/>
        </w:rPr>
        <w:t>月</w:t>
      </w:r>
      <w:r>
        <w:rPr>
          <w:rFonts w:hint="eastAsia"/>
          <w:highlight w:val="none"/>
          <w:lang w:val="en-US" w:eastAsia="zh-CN"/>
        </w:rPr>
        <w:t>15</w:t>
      </w:r>
      <w:r>
        <w:rPr>
          <w:rFonts w:hint="eastAsia"/>
          <w:highlight w:val="none"/>
          <w:lang w:val="en-US"/>
        </w:rPr>
        <w:t>日</w:t>
      </w:r>
      <w:r>
        <w:rPr>
          <w:rFonts w:hint="eastAsia"/>
          <w:highlight w:val="none"/>
        </w:rPr>
        <w:t xml:space="preserve"> </w:t>
      </w:r>
    </w:p>
    <w:p>
      <w:pPr>
        <w:rPr>
          <w:highlight w:val="none"/>
        </w:rPr>
      </w:pPr>
      <w:r>
        <w:rPr>
          <w:highlight w:val="none"/>
        </w:rPr>
        <w:br w:type="page"/>
      </w:r>
    </w:p>
    <w:p>
      <w:pPr>
        <w:pStyle w:val="3"/>
        <w:jc w:val="center"/>
        <w:rPr>
          <w:sz w:val="50"/>
          <w:highlight w:val="none"/>
        </w:rPr>
      </w:pPr>
      <w:bookmarkStart w:id="23" w:name="_Toc29242"/>
      <w:r>
        <w:rPr>
          <w:highlight w:val="none"/>
        </w:rPr>
        <w:t>第二章投标人须知</w:t>
      </w:r>
      <w:bookmarkEnd w:id="5"/>
      <w:bookmarkEnd w:id="23"/>
    </w:p>
    <w:p>
      <w:pPr>
        <w:pStyle w:val="4"/>
        <w:ind w:left="400" w:firstLine="0"/>
        <w:rPr>
          <w:highlight w:val="none"/>
        </w:rPr>
      </w:pPr>
      <w:bookmarkStart w:id="24" w:name="_bookmark19"/>
      <w:bookmarkEnd w:id="24"/>
      <w:bookmarkStart w:id="25" w:name="_Toc30345"/>
      <w:bookmarkStart w:id="26" w:name="_Toc14130"/>
      <w:r>
        <w:rPr>
          <w:highlight w:val="none"/>
        </w:rPr>
        <w:t>投标人须知前附表</w:t>
      </w:r>
      <w:bookmarkEnd w:id="25"/>
      <w:bookmarkEnd w:id="26"/>
    </w:p>
    <w:p>
      <w:pPr>
        <w:tabs>
          <w:tab w:val="left" w:pos="1920"/>
        </w:tabs>
        <w:rPr>
          <w:highlight w:val="none"/>
        </w:rPr>
      </w:pPr>
    </w:p>
    <w:tbl>
      <w:tblPr>
        <w:tblStyle w:val="23"/>
        <w:tblW w:w="9560"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061"/>
        <w:gridCol w:w="1680"/>
        <w:gridCol w:w="681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5" w:hRule="atLeast"/>
          <w:jc w:val="center"/>
        </w:trPr>
        <w:tc>
          <w:tcPr>
            <w:tcW w:w="1061" w:type="dxa"/>
            <w:vAlign w:val="center"/>
          </w:tcPr>
          <w:p>
            <w:pPr>
              <w:spacing w:line="276" w:lineRule="auto"/>
              <w:jc w:val="center"/>
              <w:rPr>
                <w:rFonts w:asciiTheme="minorEastAsia" w:hAnsiTheme="minorEastAsia"/>
                <w:b/>
                <w:sz w:val="24"/>
                <w:highlight w:val="none"/>
              </w:rPr>
            </w:pPr>
            <w:r>
              <w:rPr>
                <w:rFonts w:hint="eastAsia" w:asciiTheme="minorEastAsia" w:hAnsiTheme="minorEastAsia"/>
                <w:b/>
                <w:sz w:val="24"/>
                <w:highlight w:val="none"/>
              </w:rPr>
              <w:t>条款号</w:t>
            </w:r>
          </w:p>
        </w:tc>
        <w:tc>
          <w:tcPr>
            <w:tcW w:w="1680" w:type="dxa"/>
            <w:vAlign w:val="center"/>
          </w:tcPr>
          <w:p>
            <w:pPr>
              <w:spacing w:line="276" w:lineRule="auto"/>
              <w:jc w:val="center"/>
              <w:rPr>
                <w:rFonts w:asciiTheme="minorEastAsia" w:hAnsiTheme="minorEastAsia"/>
                <w:b/>
                <w:sz w:val="24"/>
                <w:highlight w:val="none"/>
              </w:rPr>
            </w:pPr>
            <w:r>
              <w:rPr>
                <w:rFonts w:hint="eastAsia" w:asciiTheme="minorEastAsia" w:hAnsiTheme="minorEastAsia"/>
                <w:b/>
                <w:sz w:val="24"/>
                <w:highlight w:val="none"/>
              </w:rPr>
              <w:t>条款名称</w:t>
            </w:r>
          </w:p>
        </w:tc>
        <w:tc>
          <w:tcPr>
            <w:tcW w:w="6819" w:type="dxa"/>
            <w:vAlign w:val="center"/>
          </w:tcPr>
          <w:p>
            <w:pPr>
              <w:spacing w:line="276" w:lineRule="auto"/>
              <w:jc w:val="center"/>
              <w:rPr>
                <w:rFonts w:asciiTheme="minorEastAsia" w:hAnsiTheme="minorEastAsia"/>
                <w:b/>
                <w:sz w:val="24"/>
                <w:highlight w:val="none"/>
              </w:rPr>
            </w:pPr>
            <w:r>
              <w:rPr>
                <w:rFonts w:hint="eastAsia" w:asciiTheme="minorEastAsia" w:hAnsiTheme="minorEastAsia"/>
                <w:b/>
                <w:sz w:val="24"/>
                <w:highlight w:val="none"/>
              </w:rPr>
              <w:t>编列内容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61" w:type="dxa"/>
            <w:vAlign w:val="center"/>
          </w:tcPr>
          <w:p>
            <w:pPr>
              <w:spacing w:line="276" w:lineRule="auto"/>
              <w:jc w:val="center"/>
              <w:rPr>
                <w:rFonts w:asciiTheme="minorEastAsia" w:hAnsiTheme="minorEastAsia"/>
                <w:szCs w:val="21"/>
                <w:highlight w:val="none"/>
              </w:rPr>
            </w:pPr>
            <w:r>
              <w:rPr>
                <w:rFonts w:asciiTheme="minorEastAsia" w:hAnsiTheme="minorEastAsia"/>
                <w:szCs w:val="21"/>
                <w:highlight w:val="none"/>
              </w:rPr>
              <w:t>1.1.2</w:t>
            </w:r>
          </w:p>
        </w:tc>
        <w:tc>
          <w:tcPr>
            <w:tcW w:w="1680" w:type="dxa"/>
            <w:vAlign w:val="center"/>
          </w:tcPr>
          <w:p>
            <w:pPr>
              <w:spacing w:line="276" w:lineRule="auto"/>
              <w:jc w:val="center"/>
              <w:rPr>
                <w:rFonts w:asciiTheme="minorEastAsia" w:hAnsiTheme="minorEastAsia"/>
                <w:szCs w:val="21"/>
                <w:highlight w:val="none"/>
              </w:rPr>
            </w:pPr>
            <w:r>
              <w:rPr>
                <w:rFonts w:hint="eastAsia" w:asciiTheme="minorEastAsia" w:hAnsiTheme="minorEastAsia"/>
                <w:szCs w:val="21"/>
                <w:highlight w:val="none"/>
              </w:rPr>
              <w:t>招标人</w:t>
            </w:r>
          </w:p>
        </w:tc>
        <w:tc>
          <w:tcPr>
            <w:tcW w:w="6819" w:type="dxa"/>
            <w:vAlign w:val="center"/>
          </w:tcPr>
          <w:p>
            <w:pPr>
              <w:spacing w:line="276" w:lineRule="auto"/>
              <w:jc w:val="both"/>
              <w:rPr>
                <w:rFonts w:asciiTheme="minorEastAsia" w:hAnsiTheme="minorEastAsia"/>
                <w:szCs w:val="21"/>
                <w:highlight w:val="none"/>
              </w:rPr>
            </w:pPr>
            <w:r>
              <w:rPr>
                <w:rFonts w:hint="eastAsia" w:asciiTheme="minorEastAsia" w:hAnsiTheme="minorEastAsia"/>
                <w:szCs w:val="21"/>
                <w:highlight w:val="none"/>
                <w:lang w:val="en-US"/>
              </w:rPr>
              <w:t>招标人</w:t>
            </w:r>
            <w:r>
              <w:rPr>
                <w:rFonts w:asciiTheme="minorEastAsia" w:hAnsiTheme="minorEastAsia"/>
                <w:szCs w:val="21"/>
                <w:highlight w:val="none"/>
              </w:rPr>
              <w:t>名称：</w:t>
            </w:r>
            <w:r>
              <w:rPr>
                <w:rFonts w:hint="eastAsia" w:asciiTheme="minorEastAsia" w:hAnsiTheme="minorEastAsia"/>
                <w:szCs w:val="21"/>
                <w:highlight w:val="none"/>
              </w:rPr>
              <w:t>贵州交投商贸物流有限公司</w:t>
            </w:r>
          </w:p>
          <w:p>
            <w:pPr>
              <w:spacing w:line="276" w:lineRule="auto"/>
              <w:jc w:val="both"/>
              <w:rPr>
                <w:rFonts w:asciiTheme="minorEastAsia" w:hAnsiTheme="minorEastAsia"/>
                <w:szCs w:val="21"/>
                <w:highlight w:val="none"/>
              </w:rPr>
            </w:pPr>
            <w:r>
              <w:rPr>
                <w:rFonts w:hint="eastAsia" w:asciiTheme="minorEastAsia" w:hAnsiTheme="minorEastAsia"/>
                <w:szCs w:val="21"/>
                <w:highlight w:val="none"/>
                <w:lang w:val="en-US"/>
              </w:rPr>
              <w:t>招标人</w:t>
            </w:r>
            <w:r>
              <w:rPr>
                <w:rFonts w:asciiTheme="minorEastAsia" w:hAnsiTheme="minorEastAsia"/>
                <w:szCs w:val="21"/>
                <w:highlight w:val="none"/>
              </w:rPr>
              <w:t>地址：</w:t>
            </w:r>
            <w:r>
              <w:rPr>
                <w:rFonts w:hint="eastAsia" w:asciiTheme="minorEastAsia" w:hAnsiTheme="minorEastAsia"/>
                <w:szCs w:val="21"/>
                <w:highlight w:val="none"/>
              </w:rPr>
              <w:t>贵州省贵阳市南明区二戈寨东方现代钢材市场1号楼4层</w:t>
            </w:r>
            <w:r>
              <w:rPr>
                <w:rFonts w:hint="eastAsia" w:asciiTheme="minorEastAsia" w:hAnsiTheme="minorEastAsia"/>
                <w:szCs w:val="21"/>
                <w:highlight w:val="none"/>
                <w:lang w:val="en-US"/>
              </w:rPr>
              <w:t>68号</w:t>
            </w:r>
          </w:p>
          <w:p>
            <w:pPr>
              <w:spacing w:line="276" w:lineRule="auto"/>
              <w:jc w:val="both"/>
              <w:rPr>
                <w:rFonts w:hint="eastAsia" w:eastAsia="宋体" w:asciiTheme="minorEastAsia" w:hAnsiTheme="minorEastAsia"/>
                <w:szCs w:val="21"/>
                <w:highlight w:val="none"/>
                <w:lang w:val="en-US" w:eastAsia="zh-CN"/>
              </w:rPr>
            </w:pPr>
            <w:r>
              <w:rPr>
                <w:rFonts w:hint="eastAsia" w:asciiTheme="minorEastAsia" w:hAnsiTheme="minorEastAsia"/>
                <w:szCs w:val="21"/>
                <w:highlight w:val="none"/>
                <w:lang w:val="en-US"/>
              </w:rPr>
              <w:t>技术联系人：</w:t>
            </w:r>
            <w:r>
              <w:rPr>
                <w:rFonts w:hint="eastAsia" w:asciiTheme="minorEastAsia" w:hAnsiTheme="minorEastAsia"/>
                <w:szCs w:val="21"/>
                <w:highlight w:val="none"/>
                <w:lang w:val="en-US" w:eastAsia="zh-CN"/>
              </w:rPr>
              <w:t>彭兴</w:t>
            </w:r>
          </w:p>
          <w:p>
            <w:pPr>
              <w:spacing w:line="276" w:lineRule="auto"/>
              <w:jc w:val="both"/>
              <w:rPr>
                <w:rFonts w:hint="default" w:eastAsia="宋体" w:asciiTheme="minorEastAsia" w:hAnsiTheme="minorEastAsia"/>
                <w:szCs w:val="21"/>
                <w:highlight w:val="none"/>
                <w:lang w:val="en-US" w:eastAsia="zh-CN"/>
              </w:rPr>
            </w:pPr>
            <w:r>
              <w:rPr>
                <w:rFonts w:hint="eastAsia" w:asciiTheme="minorEastAsia" w:hAnsiTheme="minorEastAsia"/>
                <w:szCs w:val="21"/>
                <w:highlight w:val="none"/>
                <w:lang w:val="en-US"/>
              </w:rPr>
              <w:t>电  话：</w:t>
            </w:r>
            <w:r>
              <w:rPr>
                <w:rFonts w:hint="eastAsia" w:asciiTheme="minorEastAsia" w:hAnsiTheme="minorEastAsia"/>
                <w:szCs w:val="21"/>
                <w:highlight w:val="none"/>
                <w:lang w:val="en-US" w:eastAsia="zh-CN"/>
              </w:rPr>
              <w:t>18786006980</w:t>
            </w:r>
          </w:p>
          <w:p>
            <w:pPr>
              <w:spacing w:line="276" w:lineRule="auto"/>
              <w:jc w:val="both"/>
              <w:rPr>
                <w:rFonts w:asciiTheme="minorEastAsia" w:hAnsiTheme="minorEastAsia"/>
                <w:szCs w:val="21"/>
                <w:highlight w:val="none"/>
                <w:lang w:val="en-US"/>
              </w:rPr>
            </w:pPr>
            <w:r>
              <w:rPr>
                <w:rFonts w:hint="eastAsia" w:asciiTheme="minorEastAsia" w:hAnsiTheme="minorEastAsia"/>
                <w:szCs w:val="21"/>
                <w:highlight w:val="none"/>
                <w:lang w:val="en-US"/>
              </w:rPr>
              <w:t>商务</w:t>
            </w:r>
            <w:r>
              <w:rPr>
                <w:rFonts w:hint="eastAsia" w:asciiTheme="minorEastAsia" w:hAnsiTheme="minorEastAsia"/>
                <w:szCs w:val="21"/>
                <w:highlight w:val="none"/>
              </w:rPr>
              <w:t>联系人：</w:t>
            </w:r>
            <w:r>
              <w:rPr>
                <w:rFonts w:hint="eastAsia" w:asciiTheme="minorEastAsia" w:hAnsiTheme="minorEastAsia"/>
                <w:szCs w:val="21"/>
                <w:highlight w:val="none"/>
                <w:lang w:val="en-US"/>
              </w:rPr>
              <w:t>伍红曲</w:t>
            </w:r>
          </w:p>
          <w:p>
            <w:pPr>
              <w:spacing w:line="276" w:lineRule="auto"/>
              <w:jc w:val="both"/>
              <w:rPr>
                <w:rFonts w:asciiTheme="minorEastAsia" w:hAnsiTheme="minorEastAsia"/>
                <w:szCs w:val="21"/>
                <w:highlight w:val="none"/>
              </w:rPr>
            </w:pPr>
            <w:r>
              <w:rPr>
                <w:rFonts w:hint="eastAsia" w:asciiTheme="minorEastAsia" w:hAnsiTheme="minorEastAsia"/>
                <w:szCs w:val="21"/>
                <w:highlight w:val="none"/>
              </w:rPr>
              <w:t>电  话：</w:t>
            </w:r>
            <w:r>
              <w:rPr>
                <w:rFonts w:hint="eastAsia" w:asciiTheme="minorEastAsia" w:hAnsiTheme="minorEastAsia"/>
                <w:szCs w:val="21"/>
                <w:highlight w:val="none"/>
                <w:lang w:val="en-US"/>
              </w:rPr>
              <w:t>13985404635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06" w:hRule="atLeast"/>
          <w:jc w:val="center"/>
        </w:trPr>
        <w:tc>
          <w:tcPr>
            <w:tcW w:w="1061" w:type="dxa"/>
            <w:vAlign w:val="center"/>
          </w:tcPr>
          <w:p>
            <w:pPr>
              <w:spacing w:line="276" w:lineRule="auto"/>
              <w:jc w:val="center"/>
              <w:rPr>
                <w:rFonts w:asciiTheme="minorEastAsia" w:hAnsiTheme="minorEastAsia"/>
                <w:szCs w:val="21"/>
                <w:highlight w:val="none"/>
              </w:rPr>
            </w:pPr>
            <w:r>
              <w:rPr>
                <w:rFonts w:asciiTheme="minorEastAsia" w:hAnsiTheme="minorEastAsia"/>
                <w:szCs w:val="21"/>
                <w:highlight w:val="none"/>
              </w:rPr>
              <w:t>1.1.4</w:t>
            </w:r>
          </w:p>
        </w:tc>
        <w:tc>
          <w:tcPr>
            <w:tcW w:w="1680" w:type="dxa"/>
            <w:vAlign w:val="center"/>
          </w:tcPr>
          <w:p>
            <w:pPr>
              <w:spacing w:line="276" w:lineRule="auto"/>
              <w:jc w:val="center"/>
              <w:rPr>
                <w:rFonts w:asciiTheme="minorEastAsia" w:hAnsiTheme="minorEastAsia"/>
                <w:szCs w:val="21"/>
                <w:highlight w:val="none"/>
              </w:rPr>
            </w:pPr>
            <w:r>
              <w:rPr>
                <w:rFonts w:hint="eastAsia" w:asciiTheme="minorEastAsia" w:hAnsiTheme="minorEastAsia"/>
                <w:szCs w:val="21"/>
                <w:highlight w:val="none"/>
              </w:rPr>
              <w:t>招标项目名称</w:t>
            </w:r>
          </w:p>
        </w:tc>
        <w:tc>
          <w:tcPr>
            <w:tcW w:w="6819" w:type="dxa"/>
            <w:vAlign w:val="center"/>
          </w:tcPr>
          <w:p>
            <w:pPr>
              <w:spacing w:line="276" w:lineRule="auto"/>
              <w:jc w:val="both"/>
              <w:rPr>
                <w:rFonts w:asciiTheme="minorEastAsia" w:hAnsiTheme="minorEastAsia"/>
                <w:szCs w:val="21"/>
                <w:highlight w:val="none"/>
                <w:lang w:val="en-US"/>
              </w:rPr>
            </w:pPr>
            <w:r>
              <w:rPr>
                <w:rFonts w:hint="eastAsia"/>
                <w:bCs/>
                <w:color w:val="000000"/>
                <w:szCs w:val="21"/>
                <w:highlight w:val="none"/>
                <w:lang w:eastAsia="zh-CN"/>
              </w:rPr>
              <w:t>钢材</w:t>
            </w:r>
            <w:r>
              <w:rPr>
                <w:rFonts w:hint="eastAsia"/>
                <w:bCs/>
                <w:color w:val="000000"/>
                <w:szCs w:val="21"/>
                <w:highlight w:val="none"/>
              </w:rPr>
              <w:t>汽车运输采购项目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78" w:hRule="atLeast"/>
          <w:jc w:val="center"/>
        </w:trPr>
        <w:tc>
          <w:tcPr>
            <w:tcW w:w="1061" w:type="dxa"/>
            <w:vAlign w:val="center"/>
          </w:tcPr>
          <w:p>
            <w:pPr>
              <w:spacing w:line="276" w:lineRule="auto"/>
              <w:jc w:val="center"/>
              <w:rPr>
                <w:rFonts w:asciiTheme="minorEastAsia" w:hAnsiTheme="minorEastAsia"/>
                <w:szCs w:val="21"/>
                <w:highlight w:val="none"/>
              </w:rPr>
            </w:pPr>
            <w:r>
              <w:rPr>
                <w:rFonts w:asciiTheme="minorEastAsia" w:hAnsiTheme="minorEastAsia"/>
                <w:szCs w:val="21"/>
                <w:highlight w:val="none"/>
              </w:rPr>
              <w:t>1.2.1</w:t>
            </w:r>
          </w:p>
        </w:tc>
        <w:tc>
          <w:tcPr>
            <w:tcW w:w="1680" w:type="dxa"/>
            <w:vAlign w:val="center"/>
          </w:tcPr>
          <w:p>
            <w:pPr>
              <w:spacing w:line="276" w:lineRule="auto"/>
              <w:jc w:val="center"/>
              <w:rPr>
                <w:rFonts w:asciiTheme="minorEastAsia" w:hAnsiTheme="minorEastAsia"/>
                <w:szCs w:val="21"/>
                <w:highlight w:val="none"/>
              </w:rPr>
            </w:pPr>
            <w:r>
              <w:rPr>
                <w:rFonts w:asciiTheme="minorEastAsia" w:hAnsiTheme="minorEastAsia"/>
                <w:szCs w:val="21"/>
                <w:highlight w:val="none"/>
              </w:rPr>
              <w:t>资金来源</w:t>
            </w:r>
            <w:r>
              <w:rPr>
                <w:rFonts w:hint="eastAsia" w:asciiTheme="minorEastAsia" w:hAnsiTheme="minorEastAsia"/>
                <w:szCs w:val="21"/>
                <w:highlight w:val="none"/>
              </w:rPr>
              <w:t>及比例</w:t>
            </w:r>
          </w:p>
        </w:tc>
        <w:tc>
          <w:tcPr>
            <w:tcW w:w="6819" w:type="dxa"/>
            <w:vAlign w:val="center"/>
          </w:tcPr>
          <w:p>
            <w:pPr>
              <w:spacing w:line="276" w:lineRule="auto"/>
              <w:jc w:val="both"/>
              <w:rPr>
                <w:rFonts w:asciiTheme="minorEastAsia" w:hAnsiTheme="minorEastAsia"/>
                <w:szCs w:val="21"/>
                <w:highlight w:val="none"/>
              </w:rPr>
            </w:pPr>
            <w:r>
              <w:rPr>
                <w:rFonts w:hint="eastAsia" w:asciiTheme="minorEastAsia" w:hAnsiTheme="minorEastAsia"/>
                <w:szCs w:val="21"/>
                <w:highlight w:val="none"/>
              </w:rPr>
              <w:t>自筹资金，100%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1" w:hRule="atLeast"/>
          <w:jc w:val="center"/>
        </w:trPr>
        <w:tc>
          <w:tcPr>
            <w:tcW w:w="1061" w:type="dxa"/>
            <w:vAlign w:val="center"/>
          </w:tcPr>
          <w:p>
            <w:pPr>
              <w:spacing w:line="276" w:lineRule="auto"/>
              <w:jc w:val="center"/>
              <w:rPr>
                <w:rFonts w:asciiTheme="minorEastAsia" w:hAnsiTheme="minorEastAsia"/>
                <w:szCs w:val="21"/>
                <w:highlight w:val="none"/>
              </w:rPr>
            </w:pPr>
            <w:r>
              <w:rPr>
                <w:rFonts w:asciiTheme="minorEastAsia" w:hAnsiTheme="minorEastAsia"/>
                <w:szCs w:val="21"/>
                <w:highlight w:val="none"/>
              </w:rPr>
              <w:t>1.2.2</w:t>
            </w:r>
          </w:p>
        </w:tc>
        <w:tc>
          <w:tcPr>
            <w:tcW w:w="1680" w:type="dxa"/>
            <w:vAlign w:val="center"/>
          </w:tcPr>
          <w:p>
            <w:pPr>
              <w:spacing w:line="276" w:lineRule="auto"/>
              <w:jc w:val="center"/>
              <w:rPr>
                <w:rFonts w:asciiTheme="minorEastAsia" w:hAnsiTheme="minorEastAsia"/>
                <w:szCs w:val="21"/>
                <w:highlight w:val="none"/>
              </w:rPr>
            </w:pPr>
            <w:r>
              <w:rPr>
                <w:rFonts w:hint="eastAsia" w:asciiTheme="minorEastAsia" w:hAnsiTheme="minorEastAsia"/>
                <w:highlight w:val="none"/>
              </w:rPr>
              <w:t>资金落实情况</w:t>
            </w:r>
          </w:p>
        </w:tc>
        <w:tc>
          <w:tcPr>
            <w:tcW w:w="6819" w:type="dxa"/>
            <w:vAlign w:val="center"/>
          </w:tcPr>
          <w:p>
            <w:pPr>
              <w:spacing w:line="276" w:lineRule="auto"/>
              <w:jc w:val="both"/>
              <w:rPr>
                <w:rFonts w:asciiTheme="minorEastAsia" w:hAnsiTheme="minorEastAsia"/>
                <w:szCs w:val="21"/>
                <w:highlight w:val="none"/>
              </w:rPr>
            </w:pPr>
            <w:r>
              <w:rPr>
                <w:rFonts w:hint="eastAsia" w:asciiTheme="minorEastAsia" w:hAnsiTheme="minorEastAsia"/>
                <w:szCs w:val="21"/>
                <w:highlight w:val="none"/>
              </w:rPr>
              <w:t>已落实</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4" w:hRule="atLeast"/>
          <w:jc w:val="center"/>
        </w:trPr>
        <w:tc>
          <w:tcPr>
            <w:tcW w:w="1061" w:type="dxa"/>
            <w:vAlign w:val="center"/>
          </w:tcPr>
          <w:p>
            <w:pPr>
              <w:spacing w:line="276" w:lineRule="auto"/>
              <w:jc w:val="center"/>
              <w:rPr>
                <w:rFonts w:asciiTheme="minorEastAsia" w:hAnsiTheme="minorEastAsia"/>
                <w:highlight w:val="none"/>
              </w:rPr>
            </w:pPr>
            <w:r>
              <w:rPr>
                <w:rFonts w:asciiTheme="minorEastAsia" w:hAnsiTheme="minorEastAsia"/>
                <w:highlight w:val="none"/>
              </w:rPr>
              <w:t>1.3.1</w:t>
            </w:r>
          </w:p>
        </w:tc>
        <w:tc>
          <w:tcPr>
            <w:tcW w:w="1680" w:type="dxa"/>
            <w:vAlign w:val="center"/>
          </w:tcPr>
          <w:p>
            <w:pPr>
              <w:spacing w:line="276" w:lineRule="auto"/>
              <w:jc w:val="center"/>
              <w:rPr>
                <w:rFonts w:asciiTheme="minorEastAsia" w:hAnsiTheme="minorEastAsia"/>
                <w:highlight w:val="none"/>
              </w:rPr>
            </w:pPr>
            <w:r>
              <w:rPr>
                <w:rFonts w:hint="eastAsia" w:asciiTheme="minorEastAsia" w:hAnsiTheme="minorEastAsia"/>
                <w:highlight w:val="none"/>
              </w:rPr>
              <w:t>招标范围</w:t>
            </w:r>
          </w:p>
        </w:tc>
        <w:tc>
          <w:tcPr>
            <w:tcW w:w="6819" w:type="dxa"/>
            <w:vAlign w:val="center"/>
          </w:tcPr>
          <w:p>
            <w:pPr>
              <w:spacing w:line="276" w:lineRule="auto"/>
              <w:jc w:val="both"/>
              <w:rPr>
                <w:rFonts w:asciiTheme="minorEastAsia" w:hAnsiTheme="minorEastAsia"/>
                <w:szCs w:val="21"/>
                <w:highlight w:val="none"/>
              </w:rPr>
            </w:pPr>
            <w:r>
              <w:rPr>
                <w:rFonts w:hint="eastAsia" w:asciiTheme="minorEastAsia" w:hAnsiTheme="minorEastAsia"/>
                <w:szCs w:val="21"/>
                <w:highlight w:val="none"/>
                <w:lang w:val="en-US"/>
              </w:rPr>
              <w:t>详见招标公告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3" w:hRule="atLeast"/>
          <w:jc w:val="center"/>
        </w:trPr>
        <w:tc>
          <w:tcPr>
            <w:tcW w:w="1061" w:type="dxa"/>
            <w:vAlign w:val="center"/>
          </w:tcPr>
          <w:p>
            <w:pPr>
              <w:spacing w:line="276" w:lineRule="auto"/>
              <w:jc w:val="center"/>
              <w:rPr>
                <w:rFonts w:asciiTheme="minorEastAsia" w:hAnsiTheme="minorEastAsia"/>
                <w:highlight w:val="none"/>
              </w:rPr>
            </w:pPr>
            <w:r>
              <w:rPr>
                <w:rFonts w:asciiTheme="minorEastAsia" w:hAnsiTheme="minorEastAsia"/>
                <w:highlight w:val="none"/>
              </w:rPr>
              <w:t>1.3.2</w:t>
            </w:r>
          </w:p>
        </w:tc>
        <w:tc>
          <w:tcPr>
            <w:tcW w:w="1680" w:type="dxa"/>
            <w:vAlign w:val="center"/>
          </w:tcPr>
          <w:p>
            <w:pPr>
              <w:spacing w:line="276" w:lineRule="auto"/>
              <w:jc w:val="center"/>
              <w:rPr>
                <w:rFonts w:asciiTheme="minorEastAsia" w:hAnsiTheme="minorEastAsia"/>
                <w:highlight w:val="none"/>
              </w:rPr>
            </w:pPr>
            <w:r>
              <w:rPr>
                <w:rFonts w:hint="eastAsia" w:asciiTheme="minorEastAsia" w:hAnsiTheme="minorEastAsia"/>
                <w:highlight w:val="none"/>
              </w:rPr>
              <w:t>计划</w:t>
            </w:r>
            <w:r>
              <w:rPr>
                <w:rFonts w:hint="eastAsia" w:asciiTheme="minorEastAsia" w:hAnsiTheme="minorEastAsia"/>
                <w:highlight w:val="none"/>
                <w:lang w:val="en-US"/>
              </w:rPr>
              <w:t>服务</w:t>
            </w:r>
            <w:r>
              <w:rPr>
                <w:rFonts w:hint="eastAsia" w:asciiTheme="minorEastAsia" w:hAnsiTheme="minorEastAsia"/>
                <w:highlight w:val="none"/>
              </w:rPr>
              <w:t>工期</w:t>
            </w:r>
          </w:p>
        </w:tc>
        <w:tc>
          <w:tcPr>
            <w:tcW w:w="6819" w:type="dxa"/>
            <w:vAlign w:val="center"/>
          </w:tcPr>
          <w:p>
            <w:pPr>
              <w:spacing w:line="276" w:lineRule="auto"/>
              <w:jc w:val="both"/>
              <w:rPr>
                <w:rFonts w:asciiTheme="minorEastAsia" w:hAnsiTheme="minorEastAsia"/>
                <w:szCs w:val="21"/>
                <w:highlight w:val="none"/>
              </w:rPr>
            </w:pPr>
            <w:r>
              <w:rPr>
                <w:rFonts w:hint="eastAsia" w:asciiTheme="minorEastAsia" w:hAnsiTheme="minorEastAsia"/>
                <w:szCs w:val="21"/>
                <w:highlight w:val="none"/>
                <w:lang w:val="en-US"/>
              </w:rPr>
              <w:t>详见招标公告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2" w:hRule="atLeast"/>
          <w:jc w:val="center"/>
        </w:trPr>
        <w:tc>
          <w:tcPr>
            <w:tcW w:w="1061" w:type="dxa"/>
            <w:vAlign w:val="center"/>
          </w:tcPr>
          <w:p>
            <w:pPr>
              <w:spacing w:line="276" w:lineRule="auto"/>
              <w:jc w:val="center"/>
              <w:rPr>
                <w:rFonts w:asciiTheme="minorEastAsia" w:hAnsiTheme="minorEastAsia"/>
                <w:highlight w:val="none"/>
              </w:rPr>
            </w:pPr>
            <w:r>
              <w:rPr>
                <w:rFonts w:asciiTheme="minorEastAsia" w:hAnsiTheme="minorEastAsia"/>
                <w:highlight w:val="none"/>
              </w:rPr>
              <w:t>1.3.3</w:t>
            </w:r>
          </w:p>
        </w:tc>
        <w:tc>
          <w:tcPr>
            <w:tcW w:w="1680" w:type="dxa"/>
            <w:vAlign w:val="center"/>
          </w:tcPr>
          <w:p>
            <w:pPr>
              <w:spacing w:line="276" w:lineRule="auto"/>
              <w:jc w:val="center"/>
              <w:rPr>
                <w:rFonts w:asciiTheme="minorEastAsia" w:hAnsiTheme="minorEastAsia"/>
                <w:highlight w:val="none"/>
              </w:rPr>
            </w:pPr>
            <w:r>
              <w:rPr>
                <w:rFonts w:hint="eastAsia" w:asciiTheme="minorEastAsia" w:hAnsiTheme="minorEastAsia"/>
                <w:highlight w:val="none"/>
                <w:lang w:val="en-US"/>
              </w:rPr>
              <w:t>服务</w:t>
            </w:r>
            <w:r>
              <w:rPr>
                <w:rFonts w:hint="eastAsia" w:asciiTheme="minorEastAsia" w:hAnsiTheme="minorEastAsia"/>
                <w:highlight w:val="none"/>
              </w:rPr>
              <w:t>地点</w:t>
            </w:r>
          </w:p>
        </w:tc>
        <w:tc>
          <w:tcPr>
            <w:tcW w:w="6819" w:type="dxa"/>
            <w:vAlign w:val="center"/>
          </w:tcPr>
          <w:p>
            <w:pPr>
              <w:spacing w:line="276" w:lineRule="auto"/>
              <w:jc w:val="both"/>
              <w:rPr>
                <w:rFonts w:asciiTheme="minorEastAsia" w:hAnsiTheme="minorEastAsia"/>
                <w:highlight w:val="none"/>
              </w:rPr>
            </w:pPr>
            <w:r>
              <w:rPr>
                <w:rFonts w:hint="eastAsia"/>
                <w:bCs/>
                <w:color w:val="000000"/>
                <w:szCs w:val="21"/>
                <w:highlight w:val="none"/>
              </w:rPr>
              <w:t>合同签订后按</w:t>
            </w:r>
            <w:r>
              <w:rPr>
                <w:rFonts w:hint="eastAsia"/>
                <w:bCs/>
                <w:color w:val="000000"/>
                <w:szCs w:val="21"/>
                <w:highlight w:val="none"/>
                <w:lang w:val="en-US"/>
              </w:rPr>
              <w:t>招标人</w:t>
            </w:r>
            <w:r>
              <w:rPr>
                <w:rFonts w:hint="eastAsia"/>
                <w:bCs/>
                <w:color w:val="000000"/>
                <w:szCs w:val="21"/>
                <w:highlight w:val="none"/>
              </w:rPr>
              <w:t>所需送至指定地点。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61" w:type="dxa"/>
            <w:vAlign w:val="center"/>
          </w:tcPr>
          <w:p>
            <w:pPr>
              <w:tabs>
                <w:tab w:val="left" w:pos="4305"/>
                <w:tab w:val="left" w:pos="4640"/>
                <w:tab w:val="left" w:pos="6930"/>
              </w:tabs>
              <w:adjustRightInd w:val="0"/>
              <w:snapToGrid w:val="0"/>
              <w:spacing w:line="300" w:lineRule="exact"/>
              <w:jc w:val="center"/>
              <w:rPr>
                <w:rFonts w:asciiTheme="minorEastAsia" w:hAnsiTheme="minorEastAsia"/>
                <w:highlight w:val="none"/>
              </w:rPr>
            </w:pPr>
            <w:r>
              <w:rPr>
                <w:rFonts w:hint="eastAsia"/>
                <w:bCs/>
                <w:color w:val="000000"/>
                <w:szCs w:val="21"/>
                <w:highlight w:val="none"/>
              </w:rPr>
              <w:t>1.3.4</w:t>
            </w:r>
          </w:p>
        </w:tc>
        <w:tc>
          <w:tcPr>
            <w:tcW w:w="1680" w:type="dxa"/>
            <w:vAlign w:val="center"/>
          </w:tcPr>
          <w:p>
            <w:pPr>
              <w:tabs>
                <w:tab w:val="left" w:pos="4305"/>
                <w:tab w:val="left" w:pos="4640"/>
                <w:tab w:val="left" w:pos="6930"/>
              </w:tabs>
              <w:adjustRightInd w:val="0"/>
              <w:snapToGrid w:val="0"/>
              <w:spacing w:line="300" w:lineRule="exact"/>
              <w:jc w:val="center"/>
              <w:rPr>
                <w:rFonts w:asciiTheme="minorEastAsia" w:hAnsiTheme="minorEastAsia"/>
                <w:highlight w:val="none"/>
                <w:lang w:val="en-US"/>
              </w:rPr>
            </w:pPr>
            <w:r>
              <w:rPr>
                <w:rFonts w:hint="eastAsia"/>
                <w:bCs/>
                <w:color w:val="000000"/>
                <w:szCs w:val="21"/>
                <w:highlight w:val="none"/>
              </w:rPr>
              <w:t>伴随服务内容</w:t>
            </w:r>
          </w:p>
        </w:tc>
        <w:tc>
          <w:tcPr>
            <w:tcW w:w="6819" w:type="dxa"/>
            <w:vAlign w:val="center"/>
          </w:tcPr>
          <w:p>
            <w:pPr>
              <w:adjustRightInd w:val="0"/>
              <w:spacing w:line="320" w:lineRule="exact"/>
              <w:jc w:val="both"/>
              <w:rPr>
                <w:rFonts w:asciiTheme="minorEastAsia" w:hAnsiTheme="minorEastAsia"/>
                <w:highlight w:val="none"/>
                <w:lang w:val="en-US"/>
              </w:rPr>
            </w:pPr>
            <w:r>
              <w:rPr>
                <w:rFonts w:hint="eastAsia"/>
                <w:bCs/>
                <w:color w:val="000000"/>
                <w:szCs w:val="21"/>
                <w:highlight w:val="none"/>
              </w:rPr>
              <w:t>包括货物的装载、运输、卸货、二次转运、各种保险以及后续其余服务等。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61" w:type="dxa"/>
            <w:vAlign w:val="center"/>
          </w:tcPr>
          <w:p>
            <w:pPr>
              <w:tabs>
                <w:tab w:val="left" w:pos="4305"/>
                <w:tab w:val="left" w:pos="4640"/>
                <w:tab w:val="left" w:pos="6930"/>
              </w:tabs>
              <w:adjustRightInd w:val="0"/>
              <w:snapToGrid w:val="0"/>
              <w:spacing w:line="300" w:lineRule="exact"/>
              <w:jc w:val="center"/>
              <w:rPr>
                <w:rFonts w:asciiTheme="minorEastAsia" w:hAnsiTheme="minorEastAsia"/>
                <w:highlight w:val="none"/>
              </w:rPr>
            </w:pPr>
            <w:r>
              <w:rPr>
                <w:rFonts w:hint="eastAsia"/>
                <w:bCs/>
                <w:color w:val="000000"/>
                <w:szCs w:val="21"/>
                <w:highlight w:val="none"/>
              </w:rPr>
              <w:t>1.3.6</w:t>
            </w:r>
          </w:p>
        </w:tc>
        <w:tc>
          <w:tcPr>
            <w:tcW w:w="1680" w:type="dxa"/>
            <w:vAlign w:val="center"/>
          </w:tcPr>
          <w:p>
            <w:pPr>
              <w:tabs>
                <w:tab w:val="left" w:pos="4305"/>
                <w:tab w:val="left" w:pos="4640"/>
                <w:tab w:val="left" w:pos="6930"/>
              </w:tabs>
              <w:adjustRightInd w:val="0"/>
              <w:snapToGrid w:val="0"/>
              <w:spacing w:line="300" w:lineRule="exact"/>
              <w:jc w:val="center"/>
              <w:rPr>
                <w:rFonts w:asciiTheme="minorEastAsia" w:hAnsiTheme="minorEastAsia"/>
                <w:highlight w:val="none"/>
                <w:lang w:val="en-US"/>
              </w:rPr>
            </w:pPr>
            <w:r>
              <w:rPr>
                <w:rFonts w:hint="eastAsia"/>
                <w:bCs/>
                <w:color w:val="000000"/>
                <w:szCs w:val="21"/>
                <w:highlight w:val="none"/>
              </w:rPr>
              <w:t>质量要求</w:t>
            </w:r>
          </w:p>
        </w:tc>
        <w:tc>
          <w:tcPr>
            <w:tcW w:w="6819" w:type="dxa"/>
            <w:vAlign w:val="center"/>
          </w:tcPr>
          <w:p>
            <w:pPr>
              <w:adjustRightInd w:val="0"/>
              <w:spacing w:line="320" w:lineRule="exact"/>
              <w:ind w:leftChars="-13" w:hanging="28" w:hangingChars="13"/>
              <w:jc w:val="both"/>
              <w:rPr>
                <w:rFonts w:asciiTheme="minorEastAsia" w:hAnsiTheme="minorEastAsia"/>
                <w:highlight w:val="none"/>
                <w:lang w:val="en-US"/>
              </w:rPr>
            </w:pPr>
            <w:r>
              <w:rPr>
                <w:rFonts w:hint="eastAsia"/>
                <w:bCs/>
                <w:color w:val="000000"/>
                <w:szCs w:val="21"/>
                <w:highlight w:val="none"/>
              </w:rPr>
              <w:t>符合国家及相关行业规范、标准要求。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61" w:type="dxa"/>
            <w:vAlign w:val="center"/>
          </w:tcPr>
          <w:p>
            <w:pPr>
              <w:spacing w:line="276" w:lineRule="auto"/>
              <w:jc w:val="center"/>
              <w:rPr>
                <w:rFonts w:asciiTheme="minorEastAsia" w:hAnsiTheme="minorEastAsia"/>
                <w:highlight w:val="none"/>
              </w:rPr>
            </w:pPr>
            <w:r>
              <w:rPr>
                <w:rFonts w:asciiTheme="minorEastAsia" w:hAnsiTheme="minorEastAsia"/>
                <w:highlight w:val="none"/>
              </w:rPr>
              <w:t>1.4.1</w:t>
            </w:r>
          </w:p>
        </w:tc>
        <w:tc>
          <w:tcPr>
            <w:tcW w:w="1680" w:type="dxa"/>
            <w:vAlign w:val="center"/>
          </w:tcPr>
          <w:p>
            <w:pPr>
              <w:spacing w:line="276" w:lineRule="auto"/>
              <w:jc w:val="center"/>
              <w:rPr>
                <w:rFonts w:asciiTheme="minorEastAsia" w:hAnsiTheme="minorEastAsia"/>
                <w:highlight w:val="none"/>
              </w:rPr>
            </w:pPr>
            <w:r>
              <w:rPr>
                <w:rFonts w:hint="eastAsia" w:asciiTheme="minorEastAsia" w:hAnsiTheme="minorEastAsia"/>
                <w:highlight w:val="none"/>
              </w:rPr>
              <w:t>投标人资质条件、能力</w:t>
            </w:r>
          </w:p>
        </w:tc>
        <w:tc>
          <w:tcPr>
            <w:tcW w:w="6819" w:type="dxa"/>
            <w:vAlign w:val="center"/>
          </w:tcPr>
          <w:p>
            <w:pPr>
              <w:spacing w:line="276" w:lineRule="auto"/>
              <w:jc w:val="both"/>
              <w:rPr>
                <w:rFonts w:asciiTheme="minorEastAsia" w:hAnsiTheme="minorEastAsia"/>
                <w:highlight w:val="none"/>
              </w:rPr>
            </w:pPr>
            <w:r>
              <w:rPr>
                <w:rFonts w:hint="eastAsia" w:asciiTheme="minorEastAsia" w:hAnsiTheme="minorEastAsia"/>
                <w:highlight w:val="none"/>
              </w:rPr>
              <w:t>（1）资格要求：详见投标人须知前附表附件1；</w:t>
            </w:r>
          </w:p>
          <w:p>
            <w:pPr>
              <w:spacing w:line="276" w:lineRule="auto"/>
              <w:jc w:val="both"/>
              <w:rPr>
                <w:rFonts w:asciiTheme="minorEastAsia" w:hAnsiTheme="minorEastAsia"/>
                <w:highlight w:val="none"/>
              </w:rPr>
            </w:pPr>
            <w:r>
              <w:rPr>
                <w:rFonts w:hint="eastAsia" w:asciiTheme="minorEastAsia" w:hAnsiTheme="minorEastAsia"/>
                <w:highlight w:val="none"/>
              </w:rPr>
              <w:t>（2）财务要求：详见投标人须知前附表附件2；</w:t>
            </w:r>
          </w:p>
          <w:p>
            <w:pPr>
              <w:spacing w:line="276" w:lineRule="auto"/>
              <w:jc w:val="both"/>
              <w:rPr>
                <w:rFonts w:asciiTheme="minorEastAsia" w:hAnsiTheme="minorEastAsia"/>
                <w:highlight w:val="none"/>
              </w:rPr>
            </w:pPr>
            <w:r>
              <w:rPr>
                <w:rFonts w:hint="eastAsia" w:asciiTheme="minorEastAsia" w:hAnsiTheme="minorEastAsia"/>
                <w:highlight w:val="none"/>
              </w:rPr>
              <w:t>（3）投标人业绩：详见投标人须知前附表附件3；</w:t>
            </w:r>
          </w:p>
          <w:p>
            <w:pPr>
              <w:spacing w:line="276" w:lineRule="auto"/>
              <w:jc w:val="both"/>
              <w:rPr>
                <w:rFonts w:asciiTheme="minorEastAsia" w:hAnsiTheme="minorEastAsia"/>
                <w:highlight w:val="none"/>
                <w:lang w:val="en-US"/>
              </w:rPr>
            </w:pPr>
            <w:r>
              <w:rPr>
                <w:rFonts w:hint="eastAsia" w:asciiTheme="minorEastAsia" w:hAnsiTheme="minorEastAsia"/>
                <w:highlight w:val="none"/>
              </w:rPr>
              <w:t>（</w:t>
            </w:r>
            <w:r>
              <w:rPr>
                <w:rFonts w:hint="eastAsia" w:asciiTheme="minorEastAsia" w:hAnsiTheme="minorEastAsia"/>
                <w:highlight w:val="none"/>
                <w:lang w:val="en-US"/>
              </w:rPr>
              <w:t>4</w:t>
            </w:r>
            <w:r>
              <w:rPr>
                <w:rFonts w:hint="eastAsia" w:asciiTheme="minorEastAsia" w:hAnsiTheme="minorEastAsia"/>
                <w:highlight w:val="none"/>
              </w:rPr>
              <w:t>）</w:t>
            </w:r>
            <w:r>
              <w:rPr>
                <w:rFonts w:hint="eastAsia" w:asciiTheme="minorEastAsia" w:hAnsiTheme="minorEastAsia"/>
                <w:highlight w:val="none"/>
                <w:lang w:val="en-US"/>
              </w:rPr>
              <w:t>信誉要求：</w:t>
            </w:r>
            <w:r>
              <w:rPr>
                <w:rFonts w:hint="eastAsia" w:asciiTheme="minorEastAsia" w:hAnsiTheme="minorEastAsia"/>
                <w:highlight w:val="none"/>
              </w:rPr>
              <w:t>详见投标人须知前附表附件</w:t>
            </w:r>
            <w:r>
              <w:rPr>
                <w:rFonts w:hint="eastAsia" w:asciiTheme="minorEastAsia" w:hAnsiTheme="minorEastAsia"/>
                <w:highlight w:val="none"/>
                <w:lang w:val="en-US"/>
              </w:rPr>
              <w:t>4；</w:t>
            </w:r>
          </w:p>
          <w:p>
            <w:pPr>
              <w:spacing w:line="276" w:lineRule="auto"/>
              <w:jc w:val="both"/>
              <w:rPr>
                <w:rFonts w:asciiTheme="minorEastAsia" w:hAnsiTheme="minorEastAsia"/>
                <w:highlight w:val="none"/>
              </w:rPr>
            </w:pPr>
            <w:r>
              <w:rPr>
                <w:rFonts w:hint="eastAsia" w:asciiTheme="minorEastAsia" w:hAnsiTheme="minorEastAsia"/>
                <w:highlight w:val="none"/>
              </w:rPr>
              <w:t>（</w:t>
            </w:r>
            <w:r>
              <w:rPr>
                <w:rFonts w:hint="eastAsia" w:asciiTheme="minorEastAsia" w:hAnsiTheme="minorEastAsia"/>
                <w:highlight w:val="none"/>
                <w:lang w:val="en-US"/>
              </w:rPr>
              <w:t>5</w:t>
            </w:r>
            <w:r>
              <w:rPr>
                <w:rFonts w:hint="eastAsia" w:asciiTheme="minorEastAsia" w:hAnsiTheme="minorEastAsia"/>
                <w:highlight w:val="none"/>
              </w:rPr>
              <w:t>）其他要求：详见投标人须知前附表附件</w:t>
            </w:r>
            <w:r>
              <w:rPr>
                <w:rFonts w:hint="eastAsia" w:asciiTheme="minorEastAsia" w:hAnsiTheme="minorEastAsia"/>
                <w:highlight w:val="none"/>
                <w:lang w:val="en-US"/>
              </w:rPr>
              <w:t>5</w:t>
            </w:r>
            <w:r>
              <w:rPr>
                <w:rFonts w:hint="eastAsia" w:asciiTheme="minorEastAsia" w:hAnsiTheme="minorEastAsia"/>
                <w:highlight w:val="none"/>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61" w:type="dxa"/>
            <w:vAlign w:val="center"/>
          </w:tcPr>
          <w:p>
            <w:pPr>
              <w:spacing w:line="276" w:lineRule="auto"/>
              <w:jc w:val="center"/>
              <w:rPr>
                <w:rFonts w:asciiTheme="minorEastAsia" w:hAnsiTheme="minorEastAsia"/>
                <w:highlight w:val="none"/>
              </w:rPr>
            </w:pPr>
            <w:r>
              <w:rPr>
                <w:rFonts w:asciiTheme="minorEastAsia" w:hAnsiTheme="minorEastAsia"/>
                <w:highlight w:val="none"/>
              </w:rPr>
              <w:t>1.4.2</w:t>
            </w:r>
          </w:p>
        </w:tc>
        <w:tc>
          <w:tcPr>
            <w:tcW w:w="1680" w:type="dxa"/>
            <w:vAlign w:val="center"/>
          </w:tcPr>
          <w:p>
            <w:pPr>
              <w:spacing w:line="276" w:lineRule="auto"/>
              <w:jc w:val="center"/>
              <w:rPr>
                <w:rFonts w:asciiTheme="minorEastAsia" w:hAnsiTheme="minorEastAsia"/>
                <w:highlight w:val="none"/>
              </w:rPr>
            </w:pPr>
            <w:r>
              <w:rPr>
                <w:rFonts w:hint="eastAsia" w:asciiTheme="minorEastAsia" w:hAnsiTheme="minorEastAsia"/>
                <w:highlight w:val="none"/>
              </w:rPr>
              <w:t>是否接受联合体投标</w:t>
            </w:r>
          </w:p>
        </w:tc>
        <w:tc>
          <w:tcPr>
            <w:tcW w:w="6819" w:type="dxa"/>
            <w:vAlign w:val="center"/>
          </w:tcPr>
          <w:p>
            <w:pPr>
              <w:spacing w:line="276" w:lineRule="auto"/>
              <w:jc w:val="both"/>
              <w:rPr>
                <w:rFonts w:asciiTheme="minorEastAsia" w:hAnsiTheme="minorEastAsia"/>
                <w:highlight w:val="none"/>
              </w:rPr>
            </w:pPr>
            <w:r>
              <w:rPr>
                <w:rFonts w:hint="eastAsia" w:asciiTheme="minorEastAsia" w:hAnsiTheme="minorEastAsia"/>
                <w:highlight w:val="none"/>
              </w:rPr>
              <w:t>不接受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8" w:hRule="atLeast"/>
          <w:jc w:val="center"/>
        </w:trPr>
        <w:tc>
          <w:tcPr>
            <w:tcW w:w="1061" w:type="dxa"/>
            <w:vAlign w:val="center"/>
          </w:tcPr>
          <w:p>
            <w:pPr>
              <w:spacing w:line="276" w:lineRule="auto"/>
              <w:jc w:val="center"/>
              <w:rPr>
                <w:rFonts w:asciiTheme="minorEastAsia" w:hAnsiTheme="minorEastAsia"/>
                <w:highlight w:val="none"/>
              </w:rPr>
            </w:pPr>
            <w:r>
              <w:rPr>
                <w:rFonts w:asciiTheme="minorEastAsia" w:hAnsiTheme="minorEastAsia"/>
                <w:highlight w:val="none"/>
              </w:rPr>
              <w:t>1.9.1</w:t>
            </w:r>
          </w:p>
        </w:tc>
        <w:tc>
          <w:tcPr>
            <w:tcW w:w="1680" w:type="dxa"/>
            <w:vAlign w:val="center"/>
          </w:tcPr>
          <w:p>
            <w:pPr>
              <w:spacing w:line="276" w:lineRule="auto"/>
              <w:jc w:val="both"/>
              <w:rPr>
                <w:rFonts w:asciiTheme="minorEastAsia" w:hAnsiTheme="minorEastAsia"/>
                <w:highlight w:val="none"/>
              </w:rPr>
            </w:pPr>
            <w:r>
              <w:rPr>
                <w:rFonts w:hint="eastAsia" w:asciiTheme="minorEastAsia" w:hAnsiTheme="minorEastAsia"/>
                <w:highlight w:val="none"/>
              </w:rPr>
              <w:t>投标预备会</w:t>
            </w:r>
          </w:p>
        </w:tc>
        <w:tc>
          <w:tcPr>
            <w:tcW w:w="6819" w:type="dxa"/>
            <w:vAlign w:val="center"/>
          </w:tcPr>
          <w:p>
            <w:pPr>
              <w:spacing w:line="276" w:lineRule="auto"/>
              <w:jc w:val="both"/>
              <w:rPr>
                <w:rFonts w:asciiTheme="minorEastAsia" w:hAnsiTheme="minorEastAsia"/>
                <w:highlight w:val="none"/>
              </w:rPr>
            </w:pPr>
            <w:r>
              <w:rPr>
                <w:rFonts w:hint="eastAsia" w:asciiTheme="minorEastAsia" w:hAnsiTheme="minorEastAsia"/>
                <w:highlight w:val="none"/>
              </w:rPr>
              <w:t>不召开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3" w:hRule="atLeast"/>
          <w:jc w:val="center"/>
        </w:trPr>
        <w:tc>
          <w:tcPr>
            <w:tcW w:w="1061" w:type="dxa"/>
            <w:vAlign w:val="center"/>
          </w:tcPr>
          <w:p>
            <w:pPr>
              <w:spacing w:line="276" w:lineRule="auto"/>
              <w:jc w:val="center"/>
              <w:rPr>
                <w:rFonts w:asciiTheme="minorEastAsia" w:hAnsiTheme="minorEastAsia"/>
                <w:highlight w:val="none"/>
              </w:rPr>
            </w:pPr>
            <w:r>
              <w:rPr>
                <w:rFonts w:asciiTheme="minorEastAsia" w:hAnsiTheme="minorEastAsia"/>
                <w:highlight w:val="none"/>
              </w:rPr>
              <w:t>1.10.1</w:t>
            </w:r>
          </w:p>
        </w:tc>
        <w:tc>
          <w:tcPr>
            <w:tcW w:w="1680" w:type="dxa"/>
            <w:vAlign w:val="center"/>
          </w:tcPr>
          <w:p>
            <w:pPr>
              <w:spacing w:line="276" w:lineRule="auto"/>
              <w:jc w:val="center"/>
              <w:rPr>
                <w:rFonts w:asciiTheme="minorEastAsia" w:hAnsiTheme="minorEastAsia"/>
                <w:highlight w:val="none"/>
              </w:rPr>
            </w:pPr>
            <w:r>
              <w:rPr>
                <w:rFonts w:hint="eastAsia" w:asciiTheme="minorEastAsia" w:hAnsiTheme="minorEastAsia"/>
                <w:highlight w:val="none"/>
              </w:rPr>
              <w:t>分包</w:t>
            </w:r>
          </w:p>
        </w:tc>
        <w:tc>
          <w:tcPr>
            <w:tcW w:w="6819" w:type="dxa"/>
            <w:vAlign w:val="center"/>
          </w:tcPr>
          <w:p>
            <w:pPr>
              <w:spacing w:line="276" w:lineRule="auto"/>
              <w:jc w:val="both"/>
              <w:rPr>
                <w:rFonts w:asciiTheme="minorEastAsia" w:hAnsiTheme="minorEastAsia"/>
                <w:szCs w:val="21"/>
                <w:highlight w:val="none"/>
              </w:rPr>
            </w:pPr>
            <w:r>
              <w:rPr>
                <w:rFonts w:hint="eastAsia" w:asciiTheme="minorEastAsia" w:hAnsiTheme="minorEastAsia"/>
                <w:szCs w:val="21"/>
                <w:highlight w:val="none"/>
              </w:rPr>
              <w:t>不允许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61" w:type="dxa"/>
            <w:vAlign w:val="center"/>
          </w:tcPr>
          <w:p>
            <w:pPr>
              <w:spacing w:line="276" w:lineRule="auto"/>
              <w:jc w:val="center"/>
              <w:rPr>
                <w:rFonts w:asciiTheme="minorEastAsia" w:hAnsiTheme="minorEastAsia"/>
                <w:highlight w:val="none"/>
              </w:rPr>
            </w:pPr>
            <w:r>
              <w:rPr>
                <w:rFonts w:asciiTheme="minorEastAsia" w:hAnsiTheme="minorEastAsia"/>
                <w:highlight w:val="none"/>
              </w:rPr>
              <w:t>1.11.1</w:t>
            </w:r>
          </w:p>
        </w:tc>
        <w:tc>
          <w:tcPr>
            <w:tcW w:w="1680" w:type="dxa"/>
            <w:vAlign w:val="center"/>
          </w:tcPr>
          <w:p>
            <w:pPr>
              <w:spacing w:line="276" w:lineRule="auto"/>
              <w:jc w:val="center"/>
              <w:rPr>
                <w:rFonts w:asciiTheme="minorEastAsia" w:hAnsiTheme="minorEastAsia"/>
                <w:highlight w:val="none"/>
              </w:rPr>
            </w:pPr>
            <w:r>
              <w:rPr>
                <w:rFonts w:hint="eastAsia" w:asciiTheme="minorEastAsia" w:hAnsiTheme="minorEastAsia"/>
                <w:highlight w:val="none"/>
              </w:rPr>
              <w:t>实质性要求和条件</w:t>
            </w:r>
          </w:p>
        </w:tc>
        <w:tc>
          <w:tcPr>
            <w:tcW w:w="6819" w:type="dxa"/>
            <w:vAlign w:val="center"/>
          </w:tcPr>
          <w:p>
            <w:pPr>
              <w:spacing w:line="276" w:lineRule="auto"/>
              <w:jc w:val="both"/>
              <w:rPr>
                <w:rFonts w:asciiTheme="minorEastAsia" w:hAnsiTheme="minorEastAsia"/>
                <w:szCs w:val="21"/>
                <w:highlight w:val="none"/>
              </w:rPr>
            </w:pPr>
            <w:r>
              <w:rPr>
                <w:rFonts w:hint="eastAsia" w:asciiTheme="minorEastAsia" w:hAnsiTheme="minorEastAsia"/>
                <w:szCs w:val="21"/>
                <w:highlight w:val="none"/>
              </w:rPr>
              <w:t>评标办法前附表中形式评审、资格评审和响应性评审所列全部标准。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8" w:hRule="atLeast"/>
          <w:jc w:val="center"/>
        </w:trPr>
        <w:tc>
          <w:tcPr>
            <w:tcW w:w="1061" w:type="dxa"/>
            <w:vAlign w:val="center"/>
          </w:tcPr>
          <w:p>
            <w:pPr>
              <w:spacing w:line="276" w:lineRule="auto"/>
              <w:jc w:val="center"/>
              <w:rPr>
                <w:rFonts w:asciiTheme="minorEastAsia" w:hAnsiTheme="minorEastAsia"/>
                <w:highlight w:val="none"/>
              </w:rPr>
            </w:pPr>
            <w:r>
              <w:rPr>
                <w:rFonts w:asciiTheme="minorEastAsia" w:hAnsiTheme="minorEastAsia"/>
                <w:highlight w:val="none"/>
              </w:rPr>
              <w:t>1.11.4</w:t>
            </w:r>
          </w:p>
        </w:tc>
        <w:tc>
          <w:tcPr>
            <w:tcW w:w="1680" w:type="dxa"/>
            <w:vAlign w:val="center"/>
          </w:tcPr>
          <w:p>
            <w:pPr>
              <w:spacing w:line="276" w:lineRule="auto"/>
              <w:jc w:val="center"/>
              <w:rPr>
                <w:rFonts w:asciiTheme="minorEastAsia" w:hAnsiTheme="minorEastAsia"/>
                <w:highlight w:val="none"/>
              </w:rPr>
            </w:pPr>
            <w:r>
              <w:rPr>
                <w:rFonts w:hint="eastAsia" w:asciiTheme="minorEastAsia" w:hAnsiTheme="minorEastAsia"/>
                <w:highlight w:val="none"/>
              </w:rPr>
              <w:t>偏差</w:t>
            </w:r>
          </w:p>
        </w:tc>
        <w:tc>
          <w:tcPr>
            <w:tcW w:w="6819" w:type="dxa"/>
            <w:vAlign w:val="center"/>
          </w:tcPr>
          <w:p>
            <w:pPr>
              <w:spacing w:line="276" w:lineRule="auto"/>
              <w:jc w:val="both"/>
              <w:rPr>
                <w:rFonts w:asciiTheme="minorEastAsia" w:hAnsiTheme="minorEastAsia"/>
                <w:szCs w:val="21"/>
                <w:highlight w:val="none"/>
              </w:rPr>
            </w:pPr>
            <w:r>
              <w:rPr>
                <w:rFonts w:hint="eastAsia" w:asciiTheme="minorEastAsia" w:hAnsiTheme="minorEastAsia"/>
                <w:szCs w:val="21"/>
                <w:highlight w:val="none"/>
              </w:rPr>
              <w:t>不允许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61" w:type="dxa"/>
            <w:vAlign w:val="center"/>
          </w:tcPr>
          <w:p>
            <w:pPr>
              <w:spacing w:line="276" w:lineRule="auto"/>
              <w:jc w:val="center"/>
              <w:rPr>
                <w:rFonts w:asciiTheme="minorEastAsia" w:hAnsiTheme="minorEastAsia"/>
                <w:highlight w:val="none"/>
              </w:rPr>
            </w:pPr>
            <w:r>
              <w:rPr>
                <w:rFonts w:asciiTheme="minorEastAsia" w:hAnsiTheme="minorEastAsia"/>
                <w:highlight w:val="none"/>
              </w:rPr>
              <w:t>2.1</w:t>
            </w:r>
          </w:p>
        </w:tc>
        <w:tc>
          <w:tcPr>
            <w:tcW w:w="1680" w:type="dxa"/>
            <w:vAlign w:val="center"/>
          </w:tcPr>
          <w:p>
            <w:pPr>
              <w:spacing w:line="276" w:lineRule="auto"/>
              <w:jc w:val="center"/>
              <w:rPr>
                <w:rFonts w:asciiTheme="minorEastAsia" w:hAnsiTheme="minorEastAsia"/>
                <w:highlight w:val="none"/>
              </w:rPr>
            </w:pPr>
            <w:r>
              <w:rPr>
                <w:rFonts w:hint="eastAsia" w:asciiTheme="minorEastAsia" w:hAnsiTheme="minorEastAsia"/>
                <w:highlight w:val="none"/>
              </w:rPr>
              <w:t>构成招标文件的其他资料</w:t>
            </w:r>
          </w:p>
        </w:tc>
        <w:tc>
          <w:tcPr>
            <w:tcW w:w="6819" w:type="dxa"/>
            <w:vAlign w:val="center"/>
          </w:tcPr>
          <w:p>
            <w:pPr>
              <w:spacing w:line="276" w:lineRule="auto"/>
              <w:jc w:val="both"/>
              <w:rPr>
                <w:rFonts w:asciiTheme="minorEastAsia" w:hAnsiTheme="minorEastAsia"/>
                <w:szCs w:val="21"/>
                <w:highlight w:val="none"/>
              </w:rPr>
            </w:pPr>
            <w:r>
              <w:rPr>
                <w:rFonts w:hint="eastAsia" w:asciiTheme="minorEastAsia" w:hAnsiTheme="minorEastAsia"/>
                <w:szCs w:val="21"/>
                <w:highlight w:val="none"/>
              </w:rPr>
              <w:t>补遗书或通知（</w:t>
            </w:r>
            <w:r>
              <w:rPr>
                <w:rFonts w:hint="eastAsia" w:asciiTheme="minorEastAsia" w:hAnsiTheme="minorEastAsia"/>
                <w:szCs w:val="21"/>
                <w:highlight w:val="none"/>
                <w:lang w:val="en-US"/>
              </w:rPr>
              <w:t>如有</w:t>
            </w:r>
            <w:r>
              <w:rPr>
                <w:rFonts w:hint="eastAsia" w:asciiTheme="minorEastAsia" w:hAnsiTheme="minorEastAsia"/>
                <w:szCs w:val="21"/>
                <w:highlight w:val="none"/>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61" w:type="dxa"/>
            <w:vAlign w:val="center"/>
          </w:tcPr>
          <w:p>
            <w:pPr>
              <w:spacing w:line="276" w:lineRule="auto"/>
              <w:jc w:val="center"/>
              <w:rPr>
                <w:rFonts w:asciiTheme="minorEastAsia" w:hAnsiTheme="minorEastAsia"/>
                <w:szCs w:val="21"/>
                <w:highlight w:val="none"/>
              </w:rPr>
            </w:pPr>
            <w:r>
              <w:rPr>
                <w:rFonts w:asciiTheme="minorEastAsia" w:hAnsiTheme="minorEastAsia"/>
                <w:szCs w:val="21"/>
                <w:highlight w:val="none"/>
              </w:rPr>
              <w:t>2.2.2</w:t>
            </w:r>
          </w:p>
        </w:tc>
        <w:tc>
          <w:tcPr>
            <w:tcW w:w="1680" w:type="dxa"/>
            <w:vAlign w:val="center"/>
          </w:tcPr>
          <w:p>
            <w:pPr>
              <w:spacing w:line="276" w:lineRule="auto"/>
              <w:jc w:val="center"/>
              <w:rPr>
                <w:rFonts w:asciiTheme="minorEastAsia" w:hAnsiTheme="minorEastAsia"/>
                <w:szCs w:val="21"/>
                <w:highlight w:val="none"/>
              </w:rPr>
            </w:pPr>
            <w:r>
              <w:rPr>
                <w:rFonts w:hint="eastAsia" w:asciiTheme="minorEastAsia" w:hAnsiTheme="minorEastAsia"/>
                <w:szCs w:val="21"/>
                <w:highlight w:val="none"/>
              </w:rPr>
              <w:t>招标文件澄清发出的形式</w:t>
            </w:r>
          </w:p>
        </w:tc>
        <w:tc>
          <w:tcPr>
            <w:tcW w:w="6819" w:type="dxa"/>
            <w:vAlign w:val="center"/>
          </w:tcPr>
          <w:p>
            <w:pPr>
              <w:spacing w:line="440" w:lineRule="exact"/>
              <w:jc w:val="both"/>
              <w:rPr>
                <w:rFonts w:ascii="Times New Roman" w:hAnsi="Times New Roman"/>
                <w:szCs w:val="21"/>
                <w:highlight w:val="none"/>
              </w:rPr>
            </w:pPr>
            <w:r>
              <w:rPr>
                <w:rFonts w:hint="eastAsia" w:ascii="Times New Roman" w:hAnsi="Times New Roman"/>
                <w:szCs w:val="21"/>
                <w:highlight w:val="none"/>
              </w:rPr>
              <w:t>招标人将在</w:t>
            </w:r>
            <w:r>
              <w:rPr>
                <w:rFonts w:hint="eastAsia"/>
                <w:b/>
                <w:bCs/>
                <w:szCs w:val="21"/>
                <w:highlight w:val="none"/>
                <w:lang w:val="en-US"/>
              </w:rPr>
              <w:t>贵州交通建设集团有限公司（www.gzjjjt.com.cn）</w:t>
            </w:r>
            <w:r>
              <w:rPr>
                <w:rFonts w:hint="eastAsia" w:ascii="Times New Roman" w:hAnsi="Times New Roman"/>
                <w:szCs w:val="21"/>
                <w:highlight w:val="none"/>
              </w:rPr>
              <w:t>对招标内容</w:t>
            </w:r>
            <w:r>
              <w:rPr>
                <w:rFonts w:hint="eastAsia" w:ascii="Times New Roman" w:hAnsi="Times New Roman"/>
                <w:szCs w:val="21"/>
                <w:highlight w:val="none"/>
                <w:lang w:val="en-US"/>
              </w:rPr>
              <w:t>以书面形式</w:t>
            </w:r>
            <w:r>
              <w:rPr>
                <w:rFonts w:hint="eastAsia" w:ascii="Times New Roman" w:hAnsi="Times New Roman"/>
                <w:szCs w:val="21"/>
                <w:highlight w:val="none"/>
              </w:rPr>
              <w:t>进行补充或澄清，由各投标人登录网站自行下载。</w:t>
            </w:r>
          </w:p>
          <w:p>
            <w:pPr>
              <w:spacing w:line="360" w:lineRule="auto"/>
              <w:jc w:val="both"/>
              <w:rPr>
                <w:rFonts w:asciiTheme="minorEastAsia" w:hAnsiTheme="minorEastAsia"/>
                <w:szCs w:val="21"/>
                <w:highlight w:val="none"/>
              </w:rPr>
            </w:pPr>
            <w:r>
              <w:rPr>
                <w:rFonts w:hint="eastAsia" w:ascii="Times New Roman" w:hAnsi="Times New Roman"/>
                <w:szCs w:val="21"/>
                <w:highlight w:val="none"/>
              </w:rPr>
              <w:t>投标人应随时关注上述网站本次招标内容，若申请人未看到上述网站本项目招标的信息，也视为申请人已收到上述网站本次招标内容已全部知悉。投标人下载补遗书后，不需向招标人确认收到。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39" w:hRule="atLeast"/>
          <w:jc w:val="center"/>
        </w:trPr>
        <w:tc>
          <w:tcPr>
            <w:tcW w:w="1061" w:type="dxa"/>
            <w:vAlign w:val="center"/>
          </w:tcPr>
          <w:p>
            <w:pPr>
              <w:spacing w:line="440" w:lineRule="exact"/>
              <w:jc w:val="center"/>
              <w:rPr>
                <w:rFonts w:asciiTheme="minorEastAsia" w:hAnsiTheme="minorEastAsia"/>
                <w:szCs w:val="21"/>
                <w:highlight w:val="none"/>
              </w:rPr>
            </w:pPr>
            <w:r>
              <w:rPr>
                <w:rFonts w:ascii="Times New Roman" w:hAnsi="Times New Roman"/>
                <w:szCs w:val="21"/>
                <w:highlight w:val="none"/>
              </w:rPr>
              <w:t>2.2.3</w:t>
            </w:r>
          </w:p>
        </w:tc>
        <w:tc>
          <w:tcPr>
            <w:tcW w:w="1680" w:type="dxa"/>
            <w:vAlign w:val="center"/>
          </w:tcPr>
          <w:p>
            <w:pPr>
              <w:jc w:val="center"/>
              <w:rPr>
                <w:rFonts w:asciiTheme="minorEastAsia" w:hAnsiTheme="minorEastAsia"/>
                <w:szCs w:val="21"/>
                <w:highlight w:val="none"/>
              </w:rPr>
            </w:pPr>
            <w:r>
              <w:rPr>
                <w:rFonts w:ascii="Times New Roman" w:hAnsi="Times New Roman"/>
                <w:szCs w:val="21"/>
                <w:highlight w:val="none"/>
              </w:rPr>
              <w:t>投标人确认收到招标文件澄清</w:t>
            </w:r>
          </w:p>
        </w:tc>
        <w:tc>
          <w:tcPr>
            <w:tcW w:w="6819" w:type="dxa"/>
            <w:vAlign w:val="center"/>
          </w:tcPr>
          <w:p>
            <w:pPr>
              <w:spacing w:line="440" w:lineRule="exact"/>
              <w:jc w:val="both"/>
              <w:rPr>
                <w:rFonts w:asciiTheme="minorEastAsia" w:hAnsiTheme="minorEastAsia"/>
                <w:szCs w:val="21"/>
                <w:highlight w:val="none"/>
              </w:rPr>
            </w:pPr>
            <w:r>
              <w:rPr>
                <w:rFonts w:hint="eastAsia" w:ascii="Times New Roman" w:hAnsi="Times New Roman"/>
                <w:szCs w:val="21"/>
                <w:highlight w:val="none"/>
              </w:rPr>
              <w:t>投标人应随时关注上述网站有关本项目招标的信息，若投标人未看到上述网站有关本项目招标的信息，也视为投标人已收到上述网站有关本项目招标的信息已知悉全部内容。投标人下载补遗通知后，不需向招标人确认收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61" w:type="dxa"/>
            <w:vAlign w:val="center"/>
          </w:tcPr>
          <w:p>
            <w:pPr>
              <w:spacing w:line="276" w:lineRule="auto"/>
              <w:jc w:val="center"/>
              <w:rPr>
                <w:rFonts w:asciiTheme="minorEastAsia" w:hAnsiTheme="minorEastAsia"/>
                <w:szCs w:val="21"/>
                <w:highlight w:val="none"/>
              </w:rPr>
            </w:pPr>
            <w:r>
              <w:rPr>
                <w:rFonts w:asciiTheme="minorEastAsia" w:hAnsiTheme="minorEastAsia"/>
                <w:szCs w:val="21"/>
                <w:highlight w:val="none"/>
              </w:rPr>
              <w:t>3.1.1</w:t>
            </w:r>
          </w:p>
        </w:tc>
        <w:tc>
          <w:tcPr>
            <w:tcW w:w="1680" w:type="dxa"/>
            <w:vAlign w:val="center"/>
          </w:tcPr>
          <w:p>
            <w:pPr>
              <w:spacing w:line="276" w:lineRule="auto"/>
              <w:jc w:val="center"/>
              <w:rPr>
                <w:rFonts w:asciiTheme="minorEastAsia" w:hAnsiTheme="minorEastAsia"/>
                <w:szCs w:val="21"/>
                <w:highlight w:val="none"/>
              </w:rPr>
            </w:pPr>
            <w:r>
              <w:rPr>
                <w:rFonts w:hint="eastAsia" w:asciiTheme="minorEastAsia" w:hAnsiTheme="minorEastAsia"/>
                <w:szCs w:val="21"/>
                <w:highlight w:val="none"/>
              </w:rPr>
              <w:t>投标文件包括的内容</w:t>
            </w:r>
          </w:p>
        </w:tc>
        <w:tc>
          <w:tcPr>
            <w:tcW w:w="6819" w:type="dxa"/>
            <w:vAlign w:val="center"/>
          </w:tcPr>
          <w:p>
            <w:pPr>
              <w:spacing w:line="276" w:lineRule="auto"/>
              <w:jc w:val="both"/>
              <w:rPr>
                <w:rFonts w:asciiTheme="minorEastAsia" w:hAnsiTheme="minorEastAsia"/>
                <w:highlight w:val="none"/>
              </w:rPr>
            </w:pPr>
            <w:r>
              <w:rPr>
                <w:rFonts w:hint="eastAsia" w:asciiTheme="minorEastAsia" w:hAnsiTheme="minorEastAsia"/>
                <w:highlight w:val="none"/>
              </w:rPr>
              <w:t>投标文件应包括下列内容：</w:t>
            </w:r>
          </w:p>
          <w:p>
            <w:pPr>
              <w:spacing w:line="276" w:lineRule="auto"/>
              <w:jc w:val="both"/>
              <w:rPr>
                <w:rFonts w:asciiTheme="minorEastAsia" w:hAnsiTheme="minorEastAsia"/>
                <w:highlight w:val="none"/>
              </w:rPr>
            </w:pPr>
            <w:r>
              <w:rPr>
                <w:rFonts w:hint="eastAsia" w:asciiTheme="minorEastAsia" w:hAnsiTheme="minorEastAsia"/>
                <w:highlight w:val="none"/>
              </w:rPr>
              <w:t>第一信封（商务及技术文件）</w:t>
            </w:r>
          </w:p>
          <w:p>
            <w:pPr>
              <w:spacing w:line="276" w:lineRule="auto"/>
              <w:jc w:val="both"/>
              <w:rPr>
                <w:rFonts w:asciiTheme="minorEastAsia" w:hAnsiTheme="minorEastAsia"/>
                <w:highlight w:val="none"/>
                <w:lang w:val="en-US"/>
              </w:rPr>
            </w:pPr>
            <w:r>
              <w:rPr>
                <w:rFonts w:hint="eastAsia" w:asciiTheme="minorEastAsia" w:hAnsiTheme="minorEastAsia"/>
                <w:highlight w:val="none"/>
              </w:rPr>
              <w:t>（1）</w:t>
            </w:r>
            <w:r>
              <w:rPr>
                <w:rFonts w:hint="eastAsia" w:asciiTheme="minorEastAsia" w:hAnsiTheme="minorEastAsia"/>
                <w:highlight w:val="none"/>
                <w:lang w:val="en-US"/>
              </w:rPr>
              <w:t>投标函</w:t>
            </w:r>
          </w:p>
          <w:p>
            <w:pPr>
              <w:spacing w:line="276" w:lineRule="auto"/>
              <w:jc w:val="both"/>
              <w:rPr>
                <w:rFonts w:asciiTheme="minorEastAsia" w:hAnsiTheme="minorEastAsia"/>
                <w:highlight w:val="none"/>
              </w:rPr>
            </w:pPr>
            <w:r>
              <w:rPr>
                <w:rFonts w:hint="eastAsia" w:asciiTheme="minorEastAsia" w:hAnsiTheme="minorEastAsia"/>
                <w:highlight w:val="none"/>
              </w:rPr>
              <w:t>（2）法定代表人身份证明或授权委托书；</w:t>
            </w:r>
          </w:p>
          <w:p>
            <w:pPr>
              <w:spacing w:line="276" w:lineRule="auto"/>
              <w:jc w:val="both"/>
              <w:rPr>
                <w:rFonts w:asciiTheme="minorEastAsia" w:hAnsiTheme="minorEastAsia"/>
                <w:highlight w:val="none"/>
              </w:rPr>
            </w:pPr>
            <w:r>
              <w:rPr>
                <w:rFonts w:hint="eastAsia" w:asciiTheme="minorEastAsia" w:hAnsiTheme="minorEastAsia"/>
                <w:highlight w:val="none"/>
              </w:rPr>
              <w:t>（</w:t>
            </w:r>
            <w:r>
              <w:rPr>
                <w:rFonts w:hint="eastAsia" w:asciiTheme="minorEastAsia" w:hAnsiTheme="minorEastAsia"/>
                <w:highlight w:val="none"/>
                <w:lang w:val="en-US"/>
              </w:rPr>
              <w:t>3</w:t>
            </w:r>
            <w:r>
              <w:rPr>
                <w:rFonts w:hint="eastAsia" w:asciiTheme="minorEastAsia" w:hAnsiTheme="minorEastAsia"/>
                <w:highlight w:val="none"/>
              </w:rPr>
              <w:t>）投标保证金；</w:t>
            </w:r>
          </w:p>
          <w:p>
            <w:pPr>
              <w:spacing w:line="276" w:lineRule="auto"/>
              <w:jc w:val="both"/>
              <w:rPr>
                <w:rFonts w:asciiTheme="minorEastAsia" w:hAnsiTheme="minorEastAsia"/>
                <w:highlight w:val="none"/>
              </w:rPr>
            </w:pPr>
            <w:r>
              <w:rPr>
                <w:rFonts w:hint="eastAsia" w:asciiTheme="minorEastAsia" w:hAnsiTheme="minorEastAsia"/>
                <w:highlight w:val="none"/>
              </w:rPr>
              <w:t>（</w:t>
            </w:r>
            <w:r>
              <w:rPr>
                <w:rFonts w:hint="eastAsia" w:asciiTheme="minorEastAsia" w:hAnsiTheme="minorEastAsia"/>
                <w:highlight w:val="none"/>
                <w:lang w:val="en-US"/>
              </w:rPr>
              <w:t>4</w:t>
            </w:r>
            <w:r>
              <w:rPr>
                <w:rFonts w:hint="eastAsia" w:asciiTheme="minorEastAsia" w:hAnsiTheme="minorEastAsia"/>
                <w:highlight w:val="none"/>
              </w:rPr>
              <w:t>）商务和技术偏差表；</w:t>
            </w:r>
          </w:p>
          <w:p>
            <w:pPr>
              <w:spacing w:line="276" w:lineRule="auto"/>
              <w:jc w:val="both"/>
              <w:rPr>
                <w:rFonts w:asciiTheme="minorEastAsia" w:hAnsiTheme="minorEastAsia"/>
                <w:highlight w:val="none"/>
              </w:rPr>
            </w:pPr>
            <w:r>
              <w:rPr>
                <w:rFonts w:hint="eastAsia" w:asciiTheme="minorEastAsia" w:hAnsiTheme="minorEastAsia"/>
                <w:highlight w:val="none"/>
              </w:rPr>
              <w:t>（</w:t>
            </w:r>
            <w:r>
              <w:rPr>
                <w:rFonts w:hint="eastAsia" w:asciiTheme="minorEastAsia" w:hAnsiTheme="minorEastAsia"/>
                <w:highlight w:val="none"/>
                <w:lang w:val="en-US"/>
              </w:rPr>
              <w:t>5</w:t>
            </w:r>
            <w:r>
              <w:rPr>
                <w:rFonts w:hint="eastAsia" w:asciiTheme="minorEastAsia" w:hAnsiTheme="minorEastAsia"/>
                <w:highlight w:val="none"/>
              </w:rPr>
              <w:t>）资格审查资料；</w:t>
            </w:r>
          </w:p>
          <w:p>
            <w:pPr>
              <w:spacing w:line="276" w:lineRule="auto"/>
              <w:jc w:val="both"/>
              <w:rPr>
                <w:rFonts w:asciiTheme="minorEastAsia" w:hAnsiTheme="minorEastAsia"/>
                <w:highlight w:val="none"/>
              </w:rPr>
            </w:pPr>
            <w:r>
              <w:rPr>
                <w:rFonts w:hint="eastAsia" w:asciiTheme="minorEastAsia" w:hAnsiTheme="minorEastAsia"/>
                <w:highlight w:val="none"/>
              </w:rPr>
              <w:t>（</w:t>
            </w:r>
            <w:r>
              <w:rPr>
                <w:rFonts w:hint="eastAsia" w:asciiTheme="minorEastAsia" w:hAnsiTheme="minorEastAsia"/>
                <w:highlight w:val="none"/>
                <w:lang w:val="en-US"/>
              </w:rPr>
              <w:t>6</w:t>
            </w:r>
            <w:r>
              <w:rPr>
                <w:rFonts w:hint="eastAsia" w:asciiTheme="minorEastAsia" w:hAnsiTheme="minorEastAsia"/>
                <w:highlight w:val="none"/>
              </w:rPr>
              <w:t>）</w:t>
            </w:r>
            <w:r>
              <w:rPr>
                <w:rFonts w:hint="eastAsia" w:asciiTheme="minorEastAsia" w:hAnsiTheme="minorEastAsia"/>
                <w:highlight w:val="none"/>
                <w:lang w:val="en-US"/>
              </w:rPr>
              <w:t>运输计划</w:t>
            </w:r>
            <w:r>
              <w:rPr>
                <w:rFonts w:hint="eastAsia" w:asciiTheme="minorEastAsia" w:hAnsiTheme="minorEastAsia"/>
                <w:highlight w:val="none"/>
              </w:rPr>
              <w:t>方案；</w:t>
            </w:r>
          </w:p>
          <w:p>
            <w:pPr>
              <w:spacing w:line="276" w:lineRule="auto"/>
              <w:jc w:val="both"/>
              <w:rPr>
                <w:rFonts w:asciiTheme="minorEastAsia" w:hAnsiTheme="minorEastAsia"/>
                <w:highlight w:val="none"/>
                <w:lang w:val="en-US"/>
              </w:rPr>
            </w:pPr>
            <w:r>
              <w:rPr>
                <w:rFonts w:hint="eastAsia" w:asciiTheme="minorEastAsia" w:hAnsiTheme="minorEastAsia"/>
                <w:highlight w:val="none"/>
              </w:rPr>
              <w:t>（</w:t>
            </w:r>
            <w:r>
              <w:rPr>
                <w:rFonts w:hint="eastAsia" w:asciiTheme="minorEastAsia" w:hAnsiTheme="minorEastAsia"/>
                <w:highlight w:val="none"/>
                <w:lang w:val="en-US"/>
              </w:rPr>
              <w:t>7</w:t>
            </w:r>
            <w:r>
              <w:rPr>
                <w:rFonts w:hint="eastAsia" w:asciiTheme="minorEastAsia" w:hAnsiTheme="minorEastAsia"/>
                <w:highlight w:val="none"/>
              </w:rPr>
              <w:t>）</w:t>
            </w:r>
            <w:r>
              <w:rPr>
                <w:rFonts w:hint="eastAsia" w:asciiTheme="minorEastAsia" w:hAnsiTheme="minorEastAsia"/>
                <w:highlight w:val="none"/>
                <w:lang w:val="en-US"/>
              </w:rPr>
              <w:t>承诺函；</w:t>
            </w:r>
          </w:p>
          <w:p>
            <w:pPr>
              <w:spacing w:line="276" w:lineRule="auto"/>
              <w:jc w:val="both"/>
              <w:rPr>
                <w:rFonts w:asciiTheme="minorEastAsia" w:hAnsiTheme="minorEastAsia"/>
                <w:highlight w:val="none"/>
              </w:rPr>
            </w:pPr>
            <w:r>
              <w:rPr>
                <w:rFonts w:hint="eastAsia" w:asciiTheme="minorEastAsia" w:hAnsiTheme="minorEastAsia"/>
                <w:highlight w:val="none"/>
              </w:rPr>
              <w:t>（</w:t>
            </w:r>
            <w:r>
              <w:rPr>
                <w:rFonts w:hint="eastAsia" w:asciiTheme="minorEastAsia" w:hAnsiTheme="minorEastAsia"/>
                <w:highlight w:val="none"/>
                <w:lang w:val="en-US"/>
              </w:rPr>
              <w:t>8</w:t>
            </w:r>
            <w:r>
              <w:rPr>
                <w:rFonts w:hint="eastAsia" w:asciiTheme="minorEastAsia" w:hAnsiTheme="minorEastAsia"/>
                <w:highlight w:val="none"/>
              </w:rPr>
              <w:t>）其他资料。</w:t>
            </w:r>
          </w:p>
          <w:p>
            <w:pPr>
              <w:spacing w:line="276" w:lineRule="auto"/>
              <w:jc w:val="both"/>
              <w:rPr>
                <w:rFonts w:asciiTheme="minorEastAsia" w:hAnsiTheme="minorEastAsia"/>
                <w:highlight w:val="none"/>
              </w:rPr>
            </w:pPr>
            <w:r>
              <w:rPr>
                <w:rFonts w:hint="eastAsia" w:asciiTheme="minorEastAsia" w:hAnsiTheme="minorEastAsia"/>
                <w:highlight w:val="none"/>
              </w:rPr>
              <w:t>第二信封（报价文件）</w:t>
            </w:r>
          </w:p>
          <w:p>
            <w:pPr>
              <w:spacing w:line="276" w:lineRule="auto"/>
              <w:jc w:val="both"/>
              <w:rPr>
                <w:rFonts w:asciiTheme="minorEastAsia" w:hAnsiTheme="minorEastAsia"/>
                <w:highlight w:val="none"/>
              </w:rPr>
            </w:pPr>
            <w:r>
              <w:rPr>
                <w:rFonts w:hint="eastAsia" w:asciiTheme="minorEastAsia" w:hAnsiTheme="minorEastAsia"/>
                <w:highlight w:val="none"/>
              </w:rPr>
              <w:t>（1）报价函；</w:t>
            </w:r>
          </w:p>
          <w:p>
            <w:pPr>
              <w:spacing w:line="276" w:lineRule="auto"/>
              <w:jc w:val="both"/>
              <w:rPr>
                <w:rFonts w:asciiTheme="minorEastAsia" w:hAnsiTheme="minorEastAsia"/>
                <w:highlight w:val="none"/>
              </w:rPr>
            </w:pPr>
            <w:r>
              <w:rPr>
                <w:rFonts w:hint="eastAsia" w:asciiTheme="minorEastAsia" w:hAnsiTheme="minorEastAsia"/>
                <w:highlight w:val="none"/>
              </w:rPr>
              <w:t>（2）分项报价表。</w:t>
            </w:r>
          </w:p>
          <w:p>
            <w:pPr>
              <w:spacing w:line="276" w:lineRule="auto"/>
              <w:jc w:val="both"/>
              <w:rPr>
                <w:rFonts w:asciiTheme="minorEastAsia" w:hAnsiTheme="minorEastAsia"/>
                <w:highlight w:val="none"/>
              </w:rPr>
            </w:pPr>
            <w:r>
              <w:rPr>
                <w:rFonts w:hint="eastAsia" w:asciiTheme="minorEastAsia" w:hAnsiTheme="minorEastAsia"/>
                <w:highlight w:val="none"/>
              </w:rPr>
              <w:t>投标人在评标过程中作出的符合法律法规和招标文件规定的澄清确认，构成投标文件的组成部分。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27" w:hRule="atLeast"/>
          <w:jc w:val="center"/>
        </w:trPr>
        <w:tc>
          <w:tcPr>
            <w:tcW w:w="1061" w:type="dxa"/>
            <w:vAlign w:val="center"/>
          </w:tcPr>
          <w:p>
            <w:pPr>
              <w:spacing w:line="276" w:lineRule="auto"/>
              <w:jc w:val="center"/>
              <w:rPr>
                <w:rFonts w:asciiTheme="minorEastAsia" w:hAnsiTheme="minorEastAsia"/>
                <w:highlight w:val="none"/>
              </w:rPr>
            </w:pPr>
            <w:r>
              <w:rPr>
                <w:rFonts w:asciiTheme="minorEastAsia" w:hAnsiTheme="minorEastAsia"/>
                <w:highlight w:val="none"/>
              </w:rPr>
              <w:t>3.2.1</w:t>
            </w:r>
          </w:p>
        </w:tc>
        <w:tc>
          <w:tcPr>
            <w:tcW w:w="1680" w:type="dxa"/>
            <w:vAlign w:val="center"/>
          </w:tcPr>
          <w:p>
            <w:pPr>
              <w:spacing w:line="276" w:lineRule="auto"/>
              <w:jc w:val="center"/>
              <w:rPr>
                <w:rFonts w:asciiTheme="minorEastAsia" w:hAnsiTheme="minorEastAsia"/>
                <w:highlight w:val="none"/>
              </w:rPr>
            </w:pPr>
            <w:r>
              <w:rPr>
                <w:rFonts w:hint="eastAsia" w:asciiTheme="minorEastAsia" w:hAnsiTheme="minorEastAsia"/>
                <w:highlight w:val="none"/>
              </w:rPr>
              <w:t>增值税税金的计算方法</w:t>
            </w:r>
          </w:p>
        </w:tc>
        <w:tc>
          <w:tcPr>
            <w:tcW w:w="6819" w:type="dxa"/>
            <w:vAlign w:val="center"/>
          </w:tcPr>
          <w:p>
            <w:pPr>
              <w:spacing w:line="276" w:lineRule="auto"/>
              <w:jc w:val="both"/>
              <w:rPr>
                <w:rFonts w:asciiTheme="minorEastAsia" w:hAnsiTheme="minorEastAsia"/>
                <w:highlight w:val="none"/>
              </w:rPr>
            </w:pPr>
            <w:r>
              <w:rPr>
                <w:rFonts w:hint="eastAsia" w:asciiTheme="minorEastAsia" w:hAnsiTheme="minorEastAsia"/>
                <w:highlight w:val="none"/>
              </w:rPr>
              <w:t>增值税税金按一般计税方法计算（说明：增值税税金包含在本项目投标报价之中，招标人不再另行支付）。</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jc w:val="center"/>
        </w:trPr>
        <w:tc>
          <w:tcPr>
            <w:tcW w:w="1061" w:type="dxa"/>
            <w:vAlign w:val="center"/>
          </w:tcPr>
          <w:p>
            <w:pPr>
              <w:spacing w:line="276" w:lineRule="auto"/>
              <w:jc w:val="center"/>
              <w:rPr>
                <w:rFonts w:asciiTheme="minorEastAsia" w:hAnsiTheme="minorEastAsia"/>
                <w:highlight w:val="none"/>
              </w:rPr>
            </w:pPr>
            <w:r>
              <w:rPr>
                <w:rFonts w:asciiTheme="minorEastAsia" w:hAnsiTheme="minorEastAsia"/>
                <w:highlight w:val="none"/>
              </w:rPr>
              <w:t>3.2.4</w:t>
            </w:r>
          </w:p>
        </w:tc>
        <w:tc>
          <w:tcPr>
            <w:tcW w:w="1680" w:type="dxa"/>
            <w:vAlign w:val="center"/>
          </w:tcPr>
          <w:p>
            <w:pPr>
              <w:spacing w:line="276" w:lineRule="auto"/>
              <w:jc w:val="center"/>
              <w:rPr>
                <w:rFonts w:asciiTheme="minorEastAsia" w:hAnsiTheme="minorEastAsia"/>
                <w:highlight w:val="none"/>
              </w:rPr>
            </w:pPr>
            <w:r>
              <w:rPr>
                <w:rFonts w:hint="eastAsia" w:asciiTheme="minorEastAsia" w:hAnsiTheme="minorEastAsia"/>
                <w:highlight w:val="none"/>
              </w:rPr>
              <w:t>最高投标限价</w:t>
            </w:r>
          </w:p>
        </w:tc>
        <w:tc>
          <w:tcPr>
            <w:tcW w:w="6819" w:type="dxa"/>
            <w:vAlign w:val="center"/>
          </w:tcPr>
          <w:p>
            <w:pPr>
              <w:pStyle w:val="21"/>
              <w:spacing w:line="360" w:lineRule="auto"/>
              <w:ind w:firstLine="0" w:firstLineChars="0"/>
              <w:jc w:val="both"/>
              <w:rPr>
                <w:rFonts w:hint="eastAsia"/>
                <w:b/>
                <w:bCs/>
                <w:highlight w:val="none"/>
                <w:lang w:val="en-US"/>
              </w:rPr>
            </w:pPr>
            <w:r>
              <w:rPr>
                <w:rFonts w:hint="eastAsia"/>
                <w:b/>
                <w:bCs/>
                <w:highlight w:val="none"/>
                <w:lang w:val="en-US"/>
              </w:rPr>
              <w:t>最高限价：</w:t>
            </w:r>
          </w:p>
          <w:p>
            <w:pPr>
              <w:pStyle w:val="21"/>
              <w:spacing w:line="360" w:lineRule="auto"/>
              <w:ind w:firstLine="0" w:firstLineChars="0"/>
              <w:jc w:val="both"/>
              <w:rPr>
                <w:b/>
                <w:bCs/>
                <w:highlight w:val="none"/>
                <w:lang w:val="en-US"/>
              </w:rPr>
            </w:pPr>
            <w:r>
              <w:rPr>
                <w:rFonts w:hint="eastAsia"/>
                <w:b/>
                <w:bCs/>
                <w:highlight w:val="none"/>
                <w:lang w:val="en-US" w:eastAsia="zh-CN"/>
              </w:rPr>
              <w:t>80公里≦实测距离&lt;200公里的最高限价为：0.7元/吨·公里</w:t>
            </w:r>
            <w:r>
              <w:rPr>
                <w:rFonts w:hint="eastAsia"/>
                <w:b/>
                <w:bCs/>
                <w:highlight w:val="none"/>
                <w:lang w:val="en-US"/>
              </w:rPr>
              <w:t>。</w:t>
            </w:r>
          </w:p>
          <w:p>
            <w:pPr>
              <w:pStyle w:val="21"/>
              <w:spacing w:line="360" w:lineRule="auto"/>
              <w:ind w:firstLine="0" w:firstLineChars="0"/>
              <w:jc w:val="both"/>
              <w:rPr>
                <w:rFonts w:asciiTheme="majorEastAsia" w:hAnsiTheme="majorEastAsia" w:eastAsiaTheme="majorEastAsia" w:cstheme="majorEastAsia"/>
                <w:b/>
                <w:bCs/>
                <w:sz w:val="22"/>
                <w:highlight w:val="none"/>
                <w:lang w:val="en-US"/>
              </w:rPr>
            </w:pPr>
            <w:r>
              <w:rPr>
                <w:rFonts w:hint="eastAsia"/>
                <w:b/>
                <w:bCs/>
                <w:highlight w:val="none"/>
                <w:lang w:val="en-US"/>
              </w:rPr>
              <w:t>投标人报价不得超出最高投标限价，否则视为重大偏差，按否决投标处理，不接受最高投标限价的潜在投标人应放弃投标。其他说明内容详见分项报价表。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61" w:type="dxa"/>
            <w:vAlign w:val="center"/>
          </w:tcPr>
          <w:p>
            <w:pPr>
              <w:spacing w:line="276" w:lineRule="auto"/>
              <w:jc w:val="center"/>
              <w:rPr>
                <w:rFonts w:asciiTheme="minorEastAsia" w:hAnsiTheme="minorEastAsia"/>
                <w:highlight w:val="none"/>
              </w:rPr>
            </w:pPr>
            <w:r>
              <w:rPr>
                <w:rFonts w:asciiTheme="minorEastAsia" w:hAnsiTheme="minorEastAsia"/>
                <w:highlight w:val="none"/>
              </w:rPr>
              <w:t xml:space="preserve">3.2.5  </w:t>
            </w:r>
          </w:p>
        </w:tc>
        <w:tc>
          <w:tcPr>
            <w:tcW w:w="1680" w:type="dxa"/>
            <w:vAlign w:val="center"/>
          </w:tcPr>
          <w:p>
            <w:pPr>
              <w:spacing w:line="276" w:lineRule="auto"/>
              <w:jc w:val="center"/>
              <w:rPr>
                <w:rFonts w:asciiTheme="minorEastAsia" w:hAnsiTheme="minorEastAsia"/>
                <w:highlight w:val="none"/>
              </w:rPr>
            </w:pPr>
            <w:r>
              <w:rPr>
                <w:rFonts w:hint="eastAsia" w:asciiTheme="minorEastAsia" w:hAnsiTheme="minorEastAsia"/>
                <w:highlight w:val="none"/>
              </w:rPr>
              <w:t>投标报价的其他要求</w:t>
            </w:r>
          </w:p>
        </w:tc>
        <w:tc>
          <w:tcPr>
            <w:tcW w:w="6819" w:type="dxa"/>
            <w:vAlign w:val="center"/>
          </w:tcPr>
          <w:p>
            <w:pPr>
              <w:numPr>
                <w:ilvl w:val="0"/>
                <w:numId w:val="1"/>
              </w:numPr>
              <w:spacing w:line="276" w:lineRule="auto"/>
              <w:jc w:val="both"/>
              <w:rPr>
                <w:rFonts w:asciiTheme="minorEastAsia" w:hAnsiTheme="minorEastAsia"/>
                <w:highlight w:val="none"/>
                <w:lang w:val="en-US"/>
              </w:rPr>
            </w:pPr>
            <w:r>
              <w:rPr>
                <w:rFonts w:hint="eastAsia" w:asciiTheme="minorEastAsia" w:hAnsiTheme="minorEastAsia"/>
                <w:highlight w:val="none"/>
                <w:lang w:val="en-US"/>
              </w:rPr>
              <w:t>未按照投标一览表要求进行报价，将视为没有实质性响应招标文件；</w:t>
            </w:r>
          </w:p>
          <w:p>
            <w:pPr>
              <w:numPr>
                <w:ilvl w:val="0"/>
                <w:numId w:val="1"/>
              </w:numPr>
              <w:spacing w:line="276" w:lineRule="auto"/>
              <w:jc w:val="both"/>
              <w:rPr>
                <w:rFonts w:asciiTheme="minorEastAsia" w:hAnsiTheme="minorEastAsia"/>
                <w:highlight w:val="none"/>
                <w:lang w:val="en-US"/>
              </w:rPr>
            </w:pPr>
            <w:r>
              <w:rPr>
                <w:rFonts w:hint="eastAsia" w:asciiTheme="minorEastAsia" w:hAnsiTheme="minorEastAsia"/>
                <w:highlight w:val="none"/>
                <w:lang w:val="en-US"/>
              </w:rPr>
              <w:t>采购数量以招标人每月提供的计划数量为准；</w:t>
            </w:r>
          </w:p>
          <w:p>
            <w:pPr>
              <w:numPr>
                <w:ilvl w:val="0"/>
                <w:numId w:val="1"/>
              </w:numPr>
              <w:spacing w:line="276" w:lineRule="auto"/>
              <w:jc w:val="both"/>
              <w:rPr>
                <w:rFonts w:asciiTheme="minorEastAsia" w:hAnsiTheme="minorEastAsia"/>
                <w:highlight w:val="none"/>
                <w:lang w:val="en-US"/>
              </w:rPr>
            </w:pPr>
            <w:r>
              <w:rPr>
                <w:rFonts w:hint="eastAsia" w:asciiTheme="minorEastAsia" w:hAnsiTheme="minorEastAsia"/>
                <w:highlight w:val="none"/>
                <w:lang w:val="en-US"/>
              </w:rPr>
              <w:t>招标人不接受调价函。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3" w:hRule="atLeast"/>
          <w:jc w:val="center"/>
        </w:trPr>
        <w:tc>
          <w:tcPr>
            <w:tcW w:w="1061" w:type="dxa"/>
            <w:vAlign w:val="center"/>
          </w:tcPr>
          <w:p>
            <w:pPr>
              <w:spacing w:line="276" w:lineRule="auto"/>
              <w:jc w:val="center"/>
              <w:rPr>
                <w:rFonts w:asciiTheme="minorEastAsia" w:hAnsiTheme="minorEastAsia"/>
                <w:highlight w:val="none"/>
              </w:rPr>
            </w:pPr>
            <w:r>
              <w:rPr>
                <w:rFonts w:asciiTheme="minorEastAsia" w:hAnsiTheme="minorEastAsia"/>
                <w:highlight w:val="none"/>
              </w:rPr>
              <w:t>3.3.1</w:t>
            </w:r>
          </w:p>
        </w:tc>
        <w:tc>
          <w:tcPr>
            <w:tcW w:w="1680" w:type="dxa"/>
            <w:vAlign w:val="center"/>
          </w:tcPr>
          <w:p>
            <w:pPr>
              <w:spacing w:line="276" w:lineRule="auto"/>
              <w:jc w:val="center"/>
              <w:rPr>
                <w:rFonts w:asciiTheme="minorEastAsia" w:hAnsiTheme="minorEastAsia"/>
                <w:highlight w:val="none"/>
              </w:rPr>
            </w:pPr>
            <w:r>
              <w:rPr>
                <w:rFonts w:hint="eastAsia" w:asciiTheme="minorEastAsia" w:hAnsiTheme="minorEastAsia"/>
                <w:highlight w:val="none"/>
              </w:rPr>
              <w:t>投标有效期</w:t>
            </w:r>
          </w:p>
        </w:tc>
        <w:tc>
          <w:tcPr>
            <w:tcW w:w="6819" w:type="dxa"/>
            <w:vAlign w:val="center"/>
          </w:tcPr>
          <w:p>
            <w:pPr>
              <w:spacing w:line="276" w:lineRule="auto"/>
              <w:jc w:val="both"/>
              <w:rPr>
                <w:rFonts w:asciiTheme="minorEastAsia" w:hAnsiTheme="minorEastAsia"/>
                <w:highlight w:val="none"/>
              </w:rPr>
            </w:pPr>
            <w:r>
              <w:rPr>
                <w:rFonts w:hint="eastAsia" w:asciiTheme="minorEastAsia" w:hAnsiTheme="minorEastAsia"/>
                <w:highlight w:val="none"/>
              </w:rPr>
              <w:t>自投标人递交投标文件截止之日起计算 90 天。</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61" w:type="dxa"/>
            <w:vAlign w:val="center"/>
          </w:tcPr>
          <w:p>
            <w:pPr>
              <w:spacing w:line="276" w:lineRule="auto"/>
              <w:jc w:val="center"/>
              <w:rPr>
                <w:rFonts w:asciiTheme="minorEastAsia" w:hAnsiTheme="minorEastAsia"/>
                <w:highlight w:val="none"/>
              </w:rPr>
            </w:pPr>
            <w:r>
              <w:rPr>
                <w:rFonts w:asciiTheme="minorEastAsia" w:hAnsiTheme="minorEastAsia"/>
                <w:highlight w:val="none"/>
              </w:rPr>
              <w:t>3.4.1</w:t>
            </w:r>
          </w:p>
        </w:tc>
        <w:tc>
          <w:tcPr>
            <w:tcW w:w="1680" w:type="dxa"/>
            <w:vAlign w:val="center"/>
          </w:tcPr>
          <w:p>
            <w:pPr>
              <w:spacing w:line="276" w:lineRule="auto"/>
              <w:jc w:val="center"/>
              <w:rPr>
                <w:rFonts w:asciiTheme="minorEastAsia" w:hAnsiTheme="minorEastAsia"/>
                <w:highlight w:val="none"/>
              </w:rPr>
            </w:pPr>
            <w:r>
              <w:rPr>
                <w:rFonts w:hint="eastAsia" w:asciiTheme="minorEastAsia" w:hAnsiTheme="minorEastAsia"/>
                <w:highlight w:val="none"/>
              </w:rPr>
              <w:t>投标保证金</w:t>
            </w:r>
          </w:p>
        </w:tc>
        <w:tc>
          <w:tcPr>
            <w:tcW w:w="6819" w:type="dxa"/>
            <w:vAlign w:val="center"/>
          </w:tcPr>
          <w:p>
            <w:pPr>
              <w:adjustRightInd w:val="0"/>
              <w:spacing w:line="360" w:lineRule="auto"/>
              <w:jc w:val="both"/>
              <w:rPr>
                <w:rFonts w:asciiTheme="minorEastAsia" w:hAnsiTheme="minorEastAsia"/>
                <w:highlight w:val="none"/>
              </w:rPr>
            </w:pPr>
            <w:r>
              <w:rPr>
                <w:rFonts w:hint="eastAsia" w:asciiTheme="minorEastAsia" w:hAnsiTheme="minorEastAsia"/>
                <w:highlight w:val="none"/>
              </w:rPr>
              <w:t>是否要求投标人递交投标保证金：</w:t>
            </w:r>
          </w:p>
          <w:p>
            <w:pPr>
              <w:adjustRightInd w:val="0"/>
              <w:spacing w:line="360" w:lineRule="auto"/>
              <w:jc w:val="both"/>
              <w:rPr>
                <w:rFonts w:asciiTheme="minorEastAsia" w:hAnsiTheme="minorEastAsia"/>
                <w:highlight w:val="none"/>
              </w:rPr>
            </w:pPr>
            <w:r>
              <w:rPr>
                <w:rFonts w:hint="eastAsia" w:asciiTheme="minorEastAsia" w:hAnsiTheme="minorEastAsia"/>
                <w:highlight w:val="none"/>
              </w:rPr>
              <w:t>☑要求，</w:t>
            </w:r>
            <w:r>
              <w:rPr>
                <w:rFonts w:hint="eastAsia" w:asciiTheme="minorEastAsia" w:hAnsiTheme="minorEastAsia"/>
                <w:b/>
                <w:bCs/>
                <w:highlight w:val="none"/>
              </w:rPr>
              <w:t>投标保证金</w:t>
            </w:r>
            <w:r>
              <w:rPr>
                <w:rFonts w:hint="eastAsia" w:asciiTheme="minorEastAsia" w:hAnsiTheme="minorEastAsia"/>
                <w:b/>
                <w:bCs/>
                <w:highlight w:val="none"/>
                <w:lang w:val="en-US"/>
              </w:rPr>
              <w:t>金额</w:t>
            </w:r>
            <w:r>
              <w:rPr>
                <w:rFonts w:hint="eastAsia" w:asciiTheme="minorEastAsia" w:hAnsiTheme="minorEastAsia"/>
                <w:b/>
                <w:bCs/>
                <w:highlight w:val="none"/>
              </w:rPr>
              <w:t>：</w:t>
            </w:r>
            <w:r>
              <w:rPr>
                <w:rFonts w:hint="eastAsia" w:asciiTheme="minorEastAsia" w:hAnsiTheme="minorEastAsia"/>
                <w:b/>
                <w:bCs/>
                <w:highlight w:val="none"/>
                <w:lang w:val="en-US"/>
              </w:rPr>
              <w:t>1</w:t>
            </w:r>
            <w:r>
              <w:rPr>
                <w:rFonts w:hint="eastAsia" w:asciiTheme="minorEastAsia" w:hAnsiTheme="minorEastAsia"/>
                <w:b/>
                <w:bCs/>
                <w:highlight w:val="none"/>
              </w:rPr>
              <w:t>0万元。</w:t>
            </w:r>
          </w:p>
          <w:p>
            <w:pPr>
              <w:numPr>
                <w:ilvl w:val="0"/>
                <w:numId w:val="2"/>
              </w:numPr>
              <w:adjustRightInd w:val="0"/>
              <w:spacing w:line="360" w:lineRule="auto"/>
              <w:jc w:val="both"/>
              <w:rPr>
                <w:rFonts w:asciiTheme="minorEastAsia" w:hAnsiTheme="minorEastAsia"/>
                <w:highlight w:val="none"/>
              </w:rPr>
            </w:pPr>
            <w:r>
              <w:rPr>
                <w:rFonts w:hint="eastAsia" w:asciiTheme="minorEastAsia" w:hAnsiTheme="minorEastAsia"/>
                <w:highlight w:val="none"/>
              </w:rPr>
              <w:t>投标保证金的形式：</w:t>
            </w:r>
            <w:r>
              <w:rPr>
                <w:rFonts w:hint="eastAsia" w:ascii="宋体" w:hAnsi="宋体" w:eastAsia="宋体" w:cs="宋体"/>
                <w:b/>
                <w:color w:val="000000"/>
                <w:kern w:val="0"/>
                <w:sz w:val="21"/>
                <w:szCs w:val="21"/>
                <w:highlight w:val="none"/>
                <w:u w:val="single"/>
                <w:lang w:val="en-US" w:eastAsia="zh-CN" w:bidi="ar"/>
              </w:rPr>
              <w:t>银行转账</w:t>
            </w:r>
            <w:r>
              <w:rPr>
                <w:rFonts w:hint="eastAsia" w:cs="宋体"/>
                <w:b/>
                <w:color w:val="000000"/>
                <w:kern w:val="0"/>
                <w:sz w:val="21"/>
                <w:szCs w:val="21"/>
                <w:highlight w:val="none"/>
                <w:u w:val="single"/>
                <w:lang w:val="en-US" w:eastAsia="zh-CN" w:bidi="ar"/>
              </w:rPr>
              <w:t>。</w:t>
            </w:r>
          </w:p>
          <w:p>
            <w:pPr>
              <w:numPr>
                <w:ilvl w:val="0"/>
                <w:numId w:val="2"/>
              </w:numPr>
              <w:adjustRightInd w:val="0"/>
              <w:spacing w:line="360" w:lineRule="auto"/>
              <w:jc w:val="both"/>
              <w:rPr>
                <w:rFonts w:asciiTheme="minorEastAsia" w:hAnsiTheme="minorEastAsia"/>
                <w:highlight w:val="none"/>
              </w:rPr>
            </w:pPr>
            <w:r>
              <w:rPr>
                <w:rFonts w:hint="eastAsia" w:asciiTheme="minorEastAsia" w:hAnsiTheme="minorEastAsia"/>
                <w:highlight w:val="none"/>
              </w:rPr>
              <w:t>投标保证金有效期应当与投标有效期一致。</w:t>
            </w:r>
          </w:p>
          <w:p>
            <w:pPr>
              <w:numPr>
                <w:ilvl w:val="0"/>
                <w:numId w:val="2"/>
              </w:numPr>
              <w:adjustRightInd w:val="0"/>
              <w:spacing w:line="360" w:lineRule="auto"/>
              <w:jc w:val="both"/>
              <w:rPr>
                <w:rFonts w:asciiTheme="minorEastAsia" w:hAnsiTheme="minorEastAsia"/>
                <w:highlight w:val="none"/>
              </w:rPr>
            </w:pPr>
            <w:r>
              <w:rPr>
                <w:rFonts w:hint="eastAsia" w:asciiTheme="minorEastAsia" w:hAnsiTheme="minorEastAsia"/>
                <w:b/>
                <w:bCs/>
                <w:highlight w:val="none"/>
                <w:lang w:eastAsia="zh-CN"/>
              </w:rPr>
              <w:t>投标保证金采用银行电汇形式的，投标保证金应由投标人银行账户一次性汇入招标人银行账户，且必须在摘要或者转账汇款的描述中注明招标编号（GZJTZB202104）：注明方式为GZJTZB202104投标保证金，汇款单据扫描件应装入投标文件正、副本中，禁止以夹页、信封等形式装入投标文件。投标保证金不计利息退还</w:t>
            </w:r>
            <w:r>
              <w:rPr>
                <w:rFonts w:hint="eastAsia" w:asciiTheme="minorEastAsia" w:hAnsiTheme="minorEastAsia"/>
                <w:b/>
                <w:bCs/>
                <w:highlight w:val="none"/>
              </w:rPr>
              <w:t>。</w:t>
            </w:r>
          </w:p>
          <w:p>
            <w:pPr>
              <w:keepNext w:val="0"/>
              <w:keepLines w:val="0"/>
              <w:pageBreakBefore w:val="0"/>
              <w:kinsoku/>
              <w:wordWrap/>
              <w:overflowPunct/>
              <w:topLinePunct w:val="0"/>
              <w:autoSpaceDE/>
              <w:autoSpaceDN/>
              <w:bidi w:val="0"/>
              <w:adjustRightInd/>
              <w:snapToGrid/>
              <w:spacing w:line="380" w:lineRule="exact"/>
              <w:jc w:val="left"/>
              <w:textAlignment w:val="auto"/>
              <w:rPr>
                <w:rFonts w:hint="eastAsia" w:ascii="宋体" w:hAnsi="宋体" w:eastAsia="宋体" w:cs="宋体"/>
                <w:color w:val="auto"/>
                <w:kern w:val="0"/>
                <w:sz w:val="21"/>
                <w:szCs w:val="21"/>
                <w:highlight w:val="none"/>
              </w:rPr>
            </w:pPr>
            <w:r>
              <w:rPr>
                <w:rFonts w:hint="eastAsia" w:asciiTheme="minorEastAsia" w:hAnsiTheme="minorEastAsia"/>
                <w:highlight w:val="none"/>
              </w:rPr>
              <w:t>投标保证金的递交截止时间为：</w:t>
            </w:r>
            <w:r>
              <w:rPr>
                <w:rFonts w:hint="eastAsia" w:ascii="宋体" w:hAnsi="宋体" w:eastAsia="宋体" w:cs="宋体"/>
                <w:b/>
                <w:color w:val="auto"/>
                <w:kern w:val="0"/>
                <w:sz w:val="21"/>
                <w:szCs w:val="21"/>
                <w:highlight w:val="none"/>
                <w:u w:val="single"/>
              </w:rPr>
              <w:t>与递交投标文件的截止时间一致，以招标人指定的银行账户收到时间为准</w:t>
            </w:r>
            <w:r>
              <w:rPr>
                <w:rFonts w:hint="eastAsia" w:ascii="宋体" w:hAnsi="宋体" w:eastAsia="宋体" w:cs="宋体"/>
                <w:color w:val="auto"/>
                <w:kern w:val="0"/>
                <w:sz w:val="21"/>
                <w:szCs w:val="21"/>
                <w:highlight w:val="none"/>
              </w:rPr>
              <w:t>。</w:t>
            </w:r>
          </w:p>
          <w:p>
            <w:pPr>
              <w:adjustRightInd w:val="0"/>
              <w:spacing w:line="360" w:lineRule="auto"/>
              <w:jc w:val="both"/>
              <w:rPr>
                <w:rFonts w:asciiTheme="minorEastAsia" w:hAnsiTheme="minorEastAsia"/>
                <w:highlight w:val="none"/>
              </w:rPr>
            </w:pPr>
            <w:r>
              <w:rPr>
                <w:rFonts w:hint="eastAsia" w:asciiTheme="minorEastAsia" w:hAnsiTheme="minorEastAsia"/>
                <w:highlight w:val="none"/>
              </w:rPr>
              <w:t>（</w:t>
            </w:r>
            <w:r>
              <w:rPr>
                <w:rFonts w:hint="eastAsia" w:asciiTheme="minorEastAsia" w:hAnsiTheme="minorEastAsia"/>
                <w:highlight w:val="none"/>
                <w:lang w:val="en-US" w:eastAsia="zh-CN"/>
              </w:rPr>
              <w:t>4</w:t>
            </w:r>
            <w:r>
              <w:rPr>
                <w:rFonts w:hint="eastAsia" w:asciiTheme="minorEastAsia" w:hAnsiTheme="minorEastAsia"/>
                <w:highlight w:val="none"/>
              </w:rPr>
              <w:t>）贵州交投商贸物流有限公司开户银行及账号如下：</w:t>
            </w:r>
          </w:p>
          <w:p>
            <w:pPr>
              <w:adjustRightInd w:val="0"/>
              <w:spacing w:line="360" w:lineRule="auto"/>
              <w:jc w:val="both"/>
              <w:rPr>
                <w:rFonts w:asciiTheme="minorEastAsia" w:hAnsiTheme="minorEastAsia"/>
                <w:b/>
                <w:bCs/>
                <w:highlight w:val="none"/>
              </w:rPr>
            </w:pPr>
            <w:r>
              <w:rPr>
                <w:rFonts w:hint="eastAsia" w:asciiTheme="minorEastAsia" w:hAnsiTheme="minorEastAsia"/>
                <w:b/>
                <w:bCs/>
                <w:highlight w:val="none"/>
              </w:rPr>
              <w:t>开户名称：贵州交投商贸物流有限公司</w:t>
            </w:r>
          </w:p>
          <w:p>
            <w:pPr>
              <w:adjustRightInd w:val="0"/>
              <w:spacing w:line="360" w:lineRule="auto"/>
              <w:jc w:val="both"/>
              <w:rPr>
                <w:rFonts w:asciiTheme="minorEastAsia" w:hAnsiTheme="minorEastAsia"/>
                <w:b/>
                <w:bCs/>
                <w:sz w:val="24"/>
                <w:szCs w:val="24"/>
                <w:highlight w:val="none"/>
              </w:rPr>
            </w:pPr>
            <w:r>
              <w:rPr>
                <w:rFonts w:hint="eastAsia" w:asciiTheme="minorEastAsia" w:hAnsiTheme="minorEastAsia"/>
                <w:b/>
                <w:bCs/>
                <w:highlight w:val="none"/>
              </w:rPr>
              <w:t>开户银行：</w:t>
            </w:r>
            <w:r>
              <w:rPr>
                <w:rFonts w:hint="eastAsia" w:asciiTheme="minorEastAsia" w:hAnsiTheme="minorEastAsia"/>
                <w:b/>
                <w:bCs/>
                <w:highlight w:val="none"/>
                <w:lang w:val="en-US"/>
              </w:rPr>
              <w:t>民生银行贵阳分行营业部</w:t>
            </w:r>
          </w:p>
          <w:p>
            <w:pPr>
              <w:adjustRightInd w:val="0"/>
              <w:spacing w:line="360" w:lineRule="auto"/>
              <w:jc w:val="both"/>
              <w:rPr>
                <w:rFonts w:asciiTheme="minorEastAsia" w:hAnsiTheme="minorEastAsia"/>
                <w:b/>
                <w:bCs/>
                <w:highlight w:val="none"/>
                <w:lang w:val="en-US"/>
              </w:rPr>
            </w:pPr>
            <w:r>
              <w:rPr>
                <w:rFonts w:hint="eastAsia" w:asciiTheme="minorEastAsia" w:hAnsiTheme="minorEastAsia"/>
                <w:b/>
                <w:bCs/>
                <w:highlight w:val="none"/>
                <w:lang w:val="en-US"/>
              </w:rPr>
              <w:t>开户帐号：6042 6826 8</w:t>
            </w:r>
          </w:p>
          <w:p>
            <w:pPr>
              <w:adjustRightInd w:val="0"/>
              <w:spacing w:line="360" w:lineRule="auto"/>
              <w:jc w:val="both"/>
              <w:rPr>
                <w:rFonts w:asciiTheme="minorEastAsia" w:hAnsiTheme="minorEastAsia"/>
                <w:highlight w:val="none"/>
              </w:rPr>
            </w:pPr>
            <w:r>
              <w:rPr>
                <w:rFonts w:hint="eastAsia" w:asciiTheme="minorEastAsia" w:hAnsiTheme="minorEastAsia"/>
                <w:highlight w:val="none"/>
              </w:rPr>
              <w:t>注：因银行结算、不可抗力等非招标人原因造成的保证金不能及时到账，后果由投标人自行承担。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61" w:type="dxa"/>
            <w:vAlign w:val="center"/>
          </w:tcPr>
          <w:p>
            <w:pPr>
              <w:spacing w:line="276" w:lineRule="auto"/>
              <w:jc w:val="center"/>
              <w:rPr>
                <w:rFonts w:asciiTheme="minorEastAsia" w:hAnsiTheme="minorEastAsia"/>
                <w:highlight w:val="none"/>
              </w:rPr>
            </w:pPr>
            <w:r>
              <w:rPr>
                <w:rFonts w:asciiTheme="minorEastAsia" w:hAnsiTheme="minorEastAsia"/>
                <w:highlight w:val="none"/>
              </w:rPr>
              <w:t>3.4.4</w:t>
            </w:r>
          </w:p>
        </w:tc>
        <w:tc>
          <w:tcPr>
            <w:tcW w:w="1680" w:type="dxa"/>
            <w:vAlign w:val="center"/>
          </w:tcPr>
          <w:p>
            <w:pPr>
              <w:spacing w:line="276" w:lineRule="auto"/>
              <w:jc w:val="center"/>
              <w:rPr>
                <w:rFonts w:asciiTheme="minorEastAsia" w:hAnsiTheme="minorEastAsia"/>
                <w:highlight w:val="none"/>
              </w:rPr>
            </w:pPr>
            <w:r>
              <w:rPr>
                <w:rFonts w:hint="eastAsia" w:asciiTheme="minorEastAsia" w:hAnsiTheme="minorEastAsia"/>
                <w:highlight w:val="none"/>
              </w:rPr>
              <w:t>其他可以不予退还投标保证金的情形</w:t>
            </w:r>
          </w:p>
        </w:tc>
        <w:tc>
          <w:tcPr>
            <w:tcW w:w="6819" w:type="dxa"/>
            <w:vAlign w:val="center"/>
          </w:tcPr>
          <w:p>
            <w:pPr>
              <w:spacing w:line="276" w:lineRule="auto"/>
              <w:jc w:val="both"/>
              <w:rPr>
                <w:rFonts w:asciiTheme="minorEastAsia" w:hAnsiTheme="minorEastAsia"/>
                <w:highlight w:val="none"/>
                <w:lang w:val="en-US"/>
              </w:rPr>
            </w:pPr>
            <w:r>
              <w:rPr>
                <w:rFonts w:hint="eastAsia" w:asciiTheme="minorEastAsia" w:hAnsiTheme="minorEastAsia"/>
                <w:highlight w:val="none"/>
                <w:lang w:val="en-US"/>
              </w:rPr>
              <w:t>有下列情形之一的，投标保证金将不予退还：</w:t>
            </w:r>
          </w:p>
          <w:p>
            <w:pPr>
              <w:spacing w:line="276" w:lineRule="auto"/>
              <w:jc w:val="both"/>
              <w:rPr>
                <w:rFonts w:asciiTheme="minorEastAsia" w:hAnsiTheme="minorEastAsia"/>
                <w:highlight w:val="none"/>
              </w:rPr>
            </w:pPr>
            <w:r>
              <w:rPr>
                <w:rFonts w:hint="eastAsia" w:asciiTheme="minorEastAsia" w:hAnsiTheme="minorEastAsia"/>
                <w:highlight w:val="none"/>
              </w:rPr>
              <w:t>（1）投标</w:t>
            </w:r>
            <w:r>
              <w:rPr>
                <w:rFonts w:hint="eastAsia" w:asciiTheme="minorEastAsia" w:hAnsiTheme="minorEastAsia"/>
                <w:highlight w:val="none"/>
                <w:lang w:val="en-US"/>
              </w:rPr>
              <w:t>截止后投标人</w:t>
            </w:r>
            <w:r>
              <w:rPr>
                <w:rFonts w:hint="eastAsia" w:asciiTheme="minorEastAsia" w:hAnsiTheme="minorEastAsia"/>
                <w:highlight w:val="none"/>
              </w:rPr>
              <w:t>撤销投标文件</w:t>
            </w:r>
            <w:r>
              <w:rPr>
                <w:rFonts w:hint="eastAsia" w:asciiTheme="minorEastAsia" w:hAnsiTheme="minorEastAsia"/>
                <w:highlight w:val="none"/>
                <w:lang w:val="en-US"/>
              </w:rPr>
              <w:t>的</w:t>
            </w:r>
            <w:r>
              <w:rPr>
                <w:rFonts w:hint="eastAsia" w:asciiTheme="minorEastAsia" w:hAnsiTheme="minorEastAsia"/>
                <w:highlight w:val="none"/>
              </w:rPr>
              <w:t>；</w:t>
            </w:r>
          </w:p>
          <w:p>
            <w:pPr>
              <w:spacing w:line="276" w:lineRule="auto"/>
              <w:jc w:val="both"/>
              <w:rPr>
                <w:rFonts w:asciiTheme="minorEastAsia" w:hAnsiTheme="minorEastAsia"/>
                <w:highlight w:val="none"/>
                <w:lang w:val="en-US"/>
              </w:rPr>
            </w:pPr>
            <w:r>
              <w:rPr>
                <w:rFonts w:hint="eastAsia" w:asciiTheme="minorEastAsia" w:hAnsiTheme="minorEastAsia"/>
                <w:highlight w:val="none"/>
              </w:rPr>
              <w:t>（2）中标人在签订合同时向招标人提出附加条件，或者</w:t>
            </w:r>
            <w:r>
              <w:rPr>
                <w:rFonts w:hint="eastAsia" w:asciiTheme="minorEastAsia" w:hAnsiTheme="minorEastAsia"/>
                <w:highlight w:val="none"/>
                <w:lang w:val="en-US"/>
              </w:rPr>
              <w:t>拒绝提交履约保证金或者履约保函的，或者自愿放弃中标的，或者在</w:t>
            </w:r>
            <w:r>
              <w:rPr>
                <w:rFonts w:hint="eastAsia" w:asciiTheme="minorEastAsia" w:hAnsiTheme="minorEastAsia"/>
                <w:highlight w:val="none"/>
              </w:rPr>
              <w:t>招标文件</w:t>
            </w:r>
            <w:r>
              <w:rPr>
                <w:rFonts w:hint="eastAsia" w:asciiTheme="minorEastAsia" w:hAnsiTheme="minorEastAsia"/>
                <w:highlight w:val="none"/>
                <w:lang w:val="en-US"/>
              </w:rPr>
              <w:t>规定的时间内不签订合同的；</w:t>
            </w:r>
          </w:p>
          <w:p>
            <w:pPr>
              <w:spacing w:line="276" w:lineRule="auto"/>
              <w:jc w:val="both"/>
              <w:rPr>
                <w:rFonts w:asciiTheme="minorEastAsia" w:hAnsiTheme="minorEastAsia"/>
                <w:highlight w:val="none"/>
                <w:lang w:val="en-US"/>
              </w:rPr>
            </w:pPr>
            <w:r>
              <w:rPr>
                <w:rFonts w:hint="eastAsia" w:asciiTheme="minorEastAsia" w:hAnsiTheme="minorEastAsia"/>
                <w:highlight w:val="none"/>
              </w:rPr>
              <w:t>（3）</w:t>
            </w:r>
            <w:r>
              <w:rPr>
                <w:rFonts w:hint="eastAsia" w:asciiTheme="minorEastAsia" w:hAnsiTheme="minorEastAsia"/>
                <w:highlight w:val="none"/>
                <w:lang w:val="en-US"/>
              </w:rPr>
              <w:t>投标文件中提供虚假材料的；</w:t>
            </w:r>
          </w:p>
          <w:p>
            <w:pPr>
              <w:spacing w:line="276" w:lineRule="auto"/>
              <w:jc w:val="both"/>
              <w:rPr>
                <w:rFonts w:asciiTheme="minorEastAsia" w:hAnsiTheme="minorEastAsia"/>
                <w:highlight w:val="none"/>
                <w:lang w:val="en-US"/>
              </w:rPr>
            </w:pPr>
            <w:r>
              <w:rPr>
                <w:rFonts w:hint="eastAsia" w:asciiTheme="minorEastAsia" w:hAnsiTheme="minorEastAsia"/>
                <w:highlight w:val="none"/>
                <w:lang w:val="en-US"/>
              </w:rPr>
              <w:t>（4）投标人行贿企图谋取中标或围标串标经查实的；</w:t>
            </w:r>
          </w:p>
          <w:p>
            <w:pPr>
              <w:spacing w:line="276" w:lineRule="auto"/>
              <w:jc w:val="both"/>
              <w:rPr>
                <w:rFonts w:asciiTheme="minorEastAsia" w:hAnsiTheme="minorEastAsia"/>
                <w:highlight w:val="none"/>
              </w:rPr>
            </w:pPr>
            <w:r>
              <w:rPr>
                <w:rFonts w:hint="eastAsia" w:asciiTheme="minorEastAsia" w:hAnsiTheme="minorEastAsia"/>
                <w:highlight w:val="none"/>
                <w:lang w:val="en-US"/>
              </w:rPr>
              <w:t>（5）法律法规规定的其他情形。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61" w:type="dxa"/>
            <w:vAlign w:val="center"/>
          </w:tcPr>
          <w:p>
            <w:pPr>
              <w:spacing w:line="276" w:lineRule="auto"/>
              <w:jc w:val="center"/>
              <w:rPr>
                <w:rFonts w:asciiTheme="minorEastAsia" w:hAnsiTheme="minorEastAsia"/>
                <w:highlight w:val="none"/>
              </w:rPr>
            </w:pPr>
            <w:r>
              <w:rPr>
                <w:rFonts w:asciiTheme="minorEastAsia" w:hAnsiTheme="minorEastAsia"/>
                <w:highlight w:val="none"/>
              </w:rPr>
              <w:t>3.5</w:t>
            </w:r>
            <w:r>
              <w:rPr>
                <w:rFonts w:hint="eastAsia" w:asciiTheme="minorEastAsia" w:hAnsiTheme="minorEastAsia"/>
                <w:highlight w:val="none"/>
                <w:lang w:val="en-US"/>
              </w:rPr>
              <w:t>.1</w:t>
            </w:r>
            <w:r>
              <w:rPr>
                <w:rFonts w:asciiTheme="minorEastAsia" w:hAnsiTheme="minorEastAsia"/>
                <w:highlight w:val="none"/>
              </w:rPr>
              <w:t xml:space="preserve">  </w:t>
            </w:r>
          </w:p>
        </w:tc>
        <w:tc>
          <w:tcPr>
            <w:tcW w:w="1680" w:type="dxa"/>
            <w:vAlign w:val="center"/>
          </w:tcPr>
          <w:p>
            <w:pPr>
              <w:spacing w:line="276" w:lineRule="auto"/>
              <w:jc w:val="center"/>
              <w:rPr>
                <w:rFonts w:asciiTheme="minorEastAsia" w:hAnsiTheme="minorEastAsia"/>
                <w:highlight w:val="none"/>
              </w:rPr>
            </w:pPr>
            <w:r>
              <w:rPr>
                <w:rFonts w:hint="eastAsia" w:asciiTheme="minorEastAsia" w:hAnsiTheme="minorEastAsia"/>
                <w:highlight w:val="none"/>
              </w:rPr>
              <w:t>资格审查资料的特殊要求</w:t>
            </w:r>
          </w:p>
        </w:tc>
        <w:tc>
          <w:tcPr>
            <w:tcW w:w="6819" w:type="dxa"/>
            <w:vAlign w:val="center"/>
          </w:tcPr>
          <w:p>
            <w:pPr>
              <w:spacing w:line="276" w:lineRule="auto"/>
              <w:jc w:val="both"/>
              <w:rPr>
                <w:rFonts w:asciiTheme="minorEastAsia" w:hAnsiTheme="minorEastAsia"/>
                <w:highlight w:val="none"/>
              </w:rPr>
            </w:pPr>
            <w:r>
              <w:rPr>
                <w:rFonts w:hint="eastAsia" w:asciiTheme="minorEastAsia" w:hAnsiTheme="minorEastAsia"/>
                <w:highlight w:val="none"/>
              </w:rPr>
              <w:t>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3" w:hRule="atLeast"/>
          <w:jc w:val="center"/>
        </w:trPr>
        <w:tc>
          <w:tcPr>
            <w:tcW w:w="1061" w:type="dxa"/>
            <w:vAlign w:val="center"/>
          </w:tcPr>
          <w:p>
            <w:pPr>
              <w:spacing w:line="276" w:lineRule="auto"/>
              <w:jc w:val="center"/>
              <w:rPr>
                <w:rFonts w:asciiTheme="minorEastAsia" w:hAnsiTheme="minorEastAsia"/>
                <w:highlight w:val="none"/>
              </w:rPr>
            </w:pPr>
            <w:r>
              <w:rPr>
                <w:rFonts w:asciiTheme="minorEastAsia" w:hAnsiTheme="minorEastAsia"/>
                <w:highlight w:val="none"/>
              </w:rPr>
              <w:t xml:space="preserve">3.5.2  </w:t>
            </w:r>
          </w:p>
        </w:tc>
        <w:tc>
          <w:tcPr>
            <w:tcW w:w="1680" w:type="dxa"/>
            <w:vAlign w:val="center"/>
          </w:tcPr>
          <w:p>
            <w:pPr>
              <w:spacing w:line="276" w:lineRule="auto"/>
              <w:jc w:val="center"/>
              <w:rPr>
                <w:rFonts w:asciiTheme="minorEastAsia" w:hAnsiTheme="minorEastAsia"/>
                <w:highlight w:val="none"/>
                <w:lang w:val="en-US"/>
              </w:rPr>
            </w:pPr>
            <w:r>
              <w:rPr>
                <w:rFonts w:hint="eastAsia" w:cs="宋体" w:asciiTheme="minorEastAsia" w:hAnsiTheme="minorEastAsia"/>
                <w:kern w:val="0"/>
                <w:sz w:val="22"/>
                <w:highlight w:val="none"/>
              </w:rPr>
              <w:t>近年财务状况的年份要求</w:t>
            </w:r>
          </w:p>
        </w:tc>
        <w:tc>
          <w:tcPr>
            <w:tcW w:w="6819" w:type="dxa"/>
            <w:vAlign w:val="center"/>
          </w:tcPr>
          <w:p>
            <w:pPr>
              <w:spacing w:line="276" w:lineRule="auto"/>
              <w:jc w:val="left"/>
              <w:rPr>
                <w:rFonts w:asciiTheme="minorEastAsia" w:hAnsiTheme="minorEastAsia"/>
                <w:highlight w:val="none"/>
              </w:rPr>
            </w:pPr>
            <w:r>
              <w:rPr>
                <w:rFonts w:hint="eastAsia" w:cs="宋体" w:asciiTheme="minorEastAsia" w:hAnsiTheme="minorEastAsia"/>
                <w:kern w:val="0"/>
                <w:sz w:val="22"/>
                <w:highlight w:val="none"/>
              </w:rPr>
              <w:t>20</w:t>
            </w:r>
            <w:r>
              <w:rPr>
                <w:rFonts w:hint="eastAsia" w:cs="宋体" w:asciiTheme="minorEastAsia" w:hAnsiTheme="minorEastAsia"/>
                <w:kern w:val="0"/>
                <w:sz w:val="22"/>
                <w:highlight w:val="none"/>
                <w:lang w:val="en-US" w:eastAsia="zh-CN"/>
              </w:rPr>
              <w:t>20</w:t>
            </w:r>
            <w:r>
              <w:rPr>
                <w:rFonts w:hint="eastAsia" w:cs="宋体" w:asciiTheme="minorEastAsia" w:hAnsiTheme="minorEastAsia"/>
                <w:kern w:val="0"/>
                <w:sz w:val="22"/>
                <w:highlight w:val="none"/>
              </w:rPr>
              <w:t>年</w:t>
            </w:r>
            <w:r>
              <w:rPr>
                <w:rFonts w:hint="eastAsia" w:cs="宋体" w:asciiTheme="minorEastAsia" w:hAnsiTheme="minorEastAsia"/>
                <w:kern w:val="0"/>
                <w:sz w:val="22"/>
                <w:highlight w:val="none"/>
                <w:lang w:val="en-US" w:eastAsia="zh-CN"/>
              </w:rPr>
              <w:t>度</w:t>
            </w:r>
            <w:r>
              <w:rPr>
                <w:rFonts w:hint="eastAsia" w:cs="宋体" w:asciiTheme="minorEastAsia" w:hAnsiTheme="minorEastAsia"/>
                <w:kern w:val="0"/>
                <w:sz w:val="22"/>
                <w:highlight w:val="none"/>
              </w:rPr>
              <w:t>财务报表</w:t>
            </w:r>
            <w:r>
              <w:rPr>
                <w:rFonts w:hint="eastAsia" w:cs="宋体" w:asciiTheme="minorEastAsia" w:hAnsiTheme="minorEastAsia"/>
                <w:kern w:val="0"/>
                <w:sz w:val="22"/>
                <w:highlight w:val="none"/>
                <w:lang w:eastAsia="zh-CN"/>
              </w:rPr>
              <w:t>，</w:t>
            </w:r>
            <w:r>
              <w:rPr>
                <w:rFonts w:hint="eastAsia" w:ascii="宋体" w:hAnsi="宋体" w:cs="宋体"/>
                <w:szCs w:val="21"/>
                <w:highlight w:val="none"/>
              </w:rPr>
              <w:t>20</w:t>
            </w:r>
            <w:r>
              <w:rPr>
                <w:rFonts w:hint="eastAsia" w:ascii="宋体" w:hAnsi="宋体" w:cs="宋体"/>
                <w:szCs w:val="21"/>
                <w:highlight w:val="none"/>
                <w:lang w:val="en-US" w:eastAsia="zh-CN"/>
              </w:rPr>
              <w:t>20</w:t>
            </w:r>
            <w:r>
              <w:rPr>
                <w:rFonts w:hint="eastAsia" w:ascii="宋体" w:hAnsi="宋体" w:cs="宋体"/>
                <w:szCs w:val="21"/>
                <w:highlight w:val="none"/>
              </w:rPr>
              <w:t>年资金流动比率（流动资产/流动负债×100%） 大于1</w:t>
            </w:r>
            <w:r>
              <w:rPr>
                <w:rFonts w:hint="eastAsia" w:cs="宋体" w:asciiTheme="minorEastAsia" w:hAnsiTheme="minorEastAsia"/>
                <w:kern w:val="0"/>
                <w:sz w:val="22"/>
                <w:highlight w:val="none"/>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61" w:type="dxa"/>
            <w:vAlign w:val="center"/>
          </w:tcPr>
          <w:p>
            <w:pPr>
              <w:spacing w:line="276" w:lineRule="auto"/>
              <w:jc w:val="center"/>
              <w:rPr>
                <w:rFonts w:asciiTheme="minorEastAsia" w:hAnsiTheme="minorEastAsia"/>
                <w:szCs w:val="21"/>
                <w:highlight w:val="none"/>
                <w:lang w:val="en-US"/>
              </w:rPr>
            </w:pPr>
            <w:r>
              <w:rPr>
                <w:rFonts w:asciiTheme="minorEastAsia" w:hAnsiTheme="minorEastAsia"/>
                <w:szCs w:val="21"/>
                <w:highlight w:val="none"/>
              </w:rPr>
              <w:t>3.5.</w:t>
            </w:r>
            <w:r>
              <w:rPr>
                <w:rFonts w:hint="eastAsia" w:asciiTheme="minorEastAsia" w:hAnsiTheme="minorEastAsia"/>
                <w:szCs w:val="21"/>
                <w:highlight w:val="none"/>
                <w:lang w:val="en-US"/>
              </w:rPr>
              <w:t>3</w:t>
            </w:r>
          </w:p>
        </w:tc>
        <w:tc>
          <w:tcPr>
            <w:tcW w:w="1680" w:type="dxa"/>
            <w:vAlign w:val="center"/>
          </w:tcPr>
          <w:p>
            <w:pPr>
              <w:spacing w:line="276" w:lineRule="auto"/>
              <w:jc w:val="center"/>
              <w:rPr>
                <w:rFonts w:asciiTheme="minorEastAsia" w:hAnsiTheme="minorEastAsia"/>
                <w:szCs w:val="21"/>
                <w:highlight w:val="none"/>
              </w:rPr>
            </w:pPr>
            <w:r>
              <w:rPr>
                <w:rFonts w:hint="eastAsia" w:asciiTheme="minorEastAsia" w:hAnsiTheme="minorEastAsia"/>
                <w:sz w:val="22"/>
                <w:szCs w:val="21"/>
                <w:highlight w:val="none"/>
              </w:rPr>
              <w:t>近年完成的类似项目情况的时间要求</w:t>
            </w:r>
          </w:p>
        </w:tc>
        <w:tc>
          <w:tcPr>
            <w:tcW w:w="6819" w:type="dxa"/>
            <w:vAlign w:val="center"/>
          </w:tcPr>
          <w:p>
            <w:pPr>
              <w:spacing w:line="276" w:lineRule="auto"/>
              <w:jc w:val="left"/>
              <w:rPr>
                <w:rFonts w:asciiTheme="minorEastAsia" w:hAnsiTheme="minorEastAsia"/>
                <w:highlight w:val="none"/>
              </w:rPr>
            </w:pPr>
            <w:r>
              <w:rPr>
                <w:rFonts w:hint="eastAsia" w:cs="宋体" w:asciiTheme="minorEastAsia" w:hAnsiTheme="minorEastAsia"/>
                <w:kern w:val="0"/>
                <w:sz w:val="22"/>
                <w:highlight w:val="none"/>
                <w:lang w:val="en-US" w:eastAsia="zh-CN"/>
              </w:rPr>
              <w:t>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61" w:type="dxa"/>
            <w:vAlign w:val="center"/>
          </w:tcPr>
          <w:p>
            <w:pPr>
              <w:spacing w:line="276" w:lineRule="auto"/>
              <w:jc w:val="center"/>
              <w:rPr>
                <w:rFonts w:asciiTheme="minorEastAsia" w:hAnsiTheme="minorEastAsia"/>
                <w:szCs w:val="21"/>
                <w:highlight w:val="none"/>
              </w:rPr>
            </w:pPr>
            <w:r>
              <w:rPr>
                <w:rFonts w:asciiTheme="minorEastAsia" w:hAnsiTheme="minorEastAsia"/>
                <w:szCs w:val="21"/>
                <w:highlight w:val="none"/>
              </w:rPr>
              <w:t>3.6.1</w:t>
            </w:r>
          </w:p>
        </w:tc>
        <w:tc>
          <w:tcPr>
            <w:tcW w:w="1680" w:type="dxa"/>
            <w:vAlign w:val="center"/>
          </w:tcPr>
          <w:p>
            <w:pPr>
              <w:spacing w:line="440" w:lineRule="exact"/>
              <w:jc w:val="center"/>
              <w:rPr>
                <w:rFonts w:asciiTheme="minorEastAsia" w:hAnsiTheme="minorEastAsia"/>
                <w:szCs w:val="21"/>
                <w:highlight w:val="none"/>
              </w:rPr>
            </w:pPr>
            <w:r>
              <w:rPr>
                <w:rFonts w:ascii="Times New Roman" w:hAnsi="Times New Roman"/>
                <w:szCs w:val="21"/>
                <w:highlight w:val="none"/>
              </w:rPr>
              <w:t>是否允许递交备选投标方案</w:t>
            </w:r>
          </w:p>
        </w:tc>
        <w:tc>
          <w:tcPr>
            <w:tcW w:w="6819" w:type="dxa"/>
            <w:vAlign w:val="center"/>
          </w:tcPr>
          <w:p>
            <w:pPr>
              <w:pStyle w:val="10"/>
              <w:topLinePunct/>
              <w:spacing w:line="400" w:lineRule="exact"/>
              <w:jc w:val="both"/>
              <w:rPr>
                <w:rFonts w:asciiTheme="minorEastAsia" w:hAnsiTheme="minorEastAsia"/>
                <w:highlight w:val="none"/>
              </w:rPr>
            </w:pPr>
            <w:r>
              <w:rPr>
                <w:rFonts w:ascii="Times New Roman" w:hAnsi="Times New Roman"/>
                <w:sz w:val="21"/>
                <w:szCs w:val="21"/>
                <w:highlight w:val="none"/>
              </w:rPr>
              <w:t>不允许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94" w:hRule="atLeast"/>
          <w:jc w:val="center"/>
        </w:trPr>
        <w:tc>
          <w:tcPr>
            <w:tcW w:w="1061" w:type="dxa"/>
            <w:vAlign w:val="center"/>
          </w:tcPr>
          <w:p>
            <w:pPr>
              <w:spacing w:line="276" w:lineRule="auto"/>
              <w:jc w:val="center"/>
              <w:rPr>
                <w:rFonts w:asciiTheme="minorEastAsia" w:hAnsiTheme="minorEastAsia"/>
                <w:highlight w:val="none"/>
              </w:rPr>
            </w:pPr>
            <w:r>
              <w:rPr>
                <w:rFonts w:hint="eastAsia" w:asciiTheme="minorEastAsia" w:hAnsiTheme="minorEastAsia"/>
                <w:highlight w:val="none"/>
              </w:rPr>
              <w:t>3.</w:t>
            </w:r>
            <w:r>
              <w:rPr>
                <w:rFonts w:hint="eastAsia" w:asciiTheme="minorEastAsia" w:hAnsiTheme="minorEastAsia"/>
                <w:highlight w:val="none"/>
                <w:lang w:val="en-US"/>
              </w:rPr>
              <w:t>6</w:t>
            </w:r>
            <w:r>
              <w:rPr>
                <w:rFonts w:hint="eastAsia" w:asciiTheme="minorEastAsia" w:hAnsiTheme="minorEastAsia"/>
                <w:highlight w:val="none"/>
              </w:rPr>
              <w:t>.3</w:t>
            </w:r>
          </w:p>
        </w:tc>
        <w:tc>
          <w:tcPr>
            <w:tcW w:w="1680" w:type="dxa"/>
            <w:vAlign w:val="center"/>
          </w:tcPr>
          <w:p>
            <w:pPr>
              <w:spacing w:line="276" w:lineRule="auto"/>
              <w:jc w:val="center"/>
              <w:rPr>
                <w:rFonts w:asciiTheme="minorEastAsia" w:hAnsiTheme="minorEastAsia"/>
                <w:szCs w:val="21"/>
                <w:highlight w:val="none"/>
              </w:rPr>
            </w:pPr>
            <w:r>
              <w:rPr>
                <w:rFonts w:hint="eastAsia" w:asciiTheme="minorEastAsia" w:hAnsiTheme="minorEastAsia"/>
                <w:szCs w:val="21"/>
                <w:highlight w:val="none"/>
              </w:rPr>
              <w:t>投标文件</w:t>
            </w:r>
          </w:p>
        </w:tc>
        <w:tc>
          <w:tcPr>
            <w:tcW w:w="6819" w:type="dxa"/>
            <w:vAlign w:val="center"/>
          </w:tcPr>
          <w:p>
            <w:pPr>
              <w:adjustRightInd w:val="0"/>
              <w:snapToGrid w:val="0"/>
              <w:spacing w:line="380" w:lineRule="exact"/>
              <w:jc w:val="both"/>
              <w:rPr>
                <w:b/>
                <w:bCs/>
                <w:szCs w:val="21"/>
                <w:highlight w:val="none"/>
              </w:rPr>
            </w:pPr>
            <w:r>
              <w:rPr>
                <w:rFonts w:hint="eastAsia"/>
                <w:b/>
                <w:bCs/>
                <w:szCs w:val="21"/>
                <w:highlight w:val="none"/>
              </w:rPr>
              <w:t>投标文件应用不褪色的材料书写或打印；</w:t>
            </w:r>
          </w:p>
          <w:p>
            <w:pPr>
              <w:adjustRightInd w:val="0"/>
              <w:snapToGrid w:val="0"/>
              <w:spacing w:line="380" w:lineRule="exact"/>
              <w:ind w:firstLine="442" w:firstLineChars="200"/>
              <w:jc w:val="both"/>
              <w:rPr>
                <w:b/>
                <w:bCs/>
                <w:szCs w:val="21"/>
                <w:highlight w:val="none"/>
              </w:rPr>
            </w:pPr>
            <w:r>
              <w:rPr>
                <w:rFonts w:hint="eastAsia"/>
                <w:b/>
                <w:bCs/>
                <w:szCs w:val="21"/>
                <w:highlight w:val="none"/>
              </w:rPr>
              <w:t>投标文件第一个信封（商务及技术文件）：招标文件中投标文件格式指定要求签字盖章位置处须由投标人的法定代表人或其委托代理人签署并盖单位公章，不得使用签名章或其它电子制版签名代替，单位公章不得使用单位其他专用章代替。</w:t>
            </w:r>
          </w:p>
          <w:p>
            <w:pPr>
              <w:adjustRightInd w:val="0"/>
              <w:snapToGrid w:val="0"/>
              <w:spacing w:line="380" w:lineRule="exact"/>
              <w:ind w:firstLine="442" w:firstLineChars="200"/>
              <w:jc w:val="both"/>
              <w:rPr>
                <w:b/>
                <w:bCs/>
                <w:szCs w:val="21"/>
                <w:highlight w:val="none"/>
              </w:rPr>
            </w:pPr>
            <w:r>
              <w:rPr>
                <w:rFonts w:hint="eastAsia"/>
                <w:b/>
                <w:bCs/>
                <w:szCs w:val="21"/>
                <w:highlight w:val="none"/>
              </w:rPr>
              <w:t>投标文件第二个信封（投标报价文件）：招标文件中投标文件格式指定要求签字盖章位置处须由投标人的法定代表人或其委托代理人签署并盖单位公章，不得使用签名章或其它电子制版签名代替，单位公章不得使用单位其他专用章代替。</w:t>
            </w:r>
          </w:p>
          <w:p>
            <w:pPr>
              <w:spacing w:line="360" w:lineRule="auto"/>
              <w:ind w:firstLine="442" w:firstLineChars="200"/>
              <w:jc w:val="both"/>
              <w:rPr>
                <w:rFonts w:asciiTheme="minorEastAsia" w:hAnsiTheme="minorEastAsia"/>
                <w:szCs w:val="21"/>
                <w:highlight w:val="none"/>
                <w:lang w:val="en-US"/>
              </w:rPr>
            </w:pPr>
            <w:r>
              <w:rPr>
                <w:rFonts w:hint="eastAsia"/>
                <w:b/>
                <w:bCs/>
                <w:szCs w:val="21"/>
                <w:highlight w:val="none"/>
              </w:rPr>
              <w:t>投标文件中的任何改动之处应加盖单位公章或由投标人的法定代表人或其委托代理人签字确认。</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61" w:type="dxa"/>
            <w:vAlign w:val="center"/>
          </w:tcPr>
          <w:p>
            <w:pPr>
              <w:spacing w:line="276" w:lineRule="auto"/>
              <w:jc w:val="center"/>
              <w:rPr>
                <w:rFonts w:asciiTheme="minorEastAsia" w:hAnsiTheme="minorEastAsia"/>
                <w:highlight w:val="none"/>
                <w:lang w:val="en-US"/>
              </w:rPr>
            </w:pPr>
            <w:r>
              <w:rPr>
                <w:rFonts w:hint="eastAsia" w:asciiTheme="minorEastAsia" w:hAnsiTheme="minorEastAsia"/>
                <w:highlight w:val="none"/>
              </w:rPr>
              <w:t>3.</w:t>
            </w:r>
            <w:r>
              <w:rPr>
                <w:rFonts w:hint="eastAsia" w:asciiTheme="minorEastAsia" w:hAnsiTheme="minorEastAsia"/>
                <w:highlight w:val="none"/>
                <w:lang w:val="en-US"/>
              </w:rPr>
              <w:t>6</w:t>
            </w:r>
            <w:r>
              <w:rPr>
                <w:rFonts w:hint="eastAsia" w:asciiTheme="minorEastAsia" w:hAnsiTheme="minorEastAsia"/>
                <w:highlight w:val="none"/>
              </w:rPr>
              <w:t>.</w:t>
            </w:r>
            <w:r>
              <w:rPr>
                <w:rFonts w:hint="eastAsia" w:asciiTheme="minorEastAsia" w:hAnsiTheme="minorEastAsia"/>
                <w:highlight w:val="none"/>
                <w:lang w:val="en-US"/>
              </w:rPr>
              <w:t>4</w:t>
            </w:r>
          </w:p>
        </w:tc>
        <w:tc>
          <w:tcPr>
            <w:tcW w:w="1680" w:type="dxa"/>
            <w:vAlign w:val="center"/>
          </w:tcPr>
          <w:p>
            <w:pPr>
              <w:spacing w:line="276" w:lineRule="auto"/>
              <w:jc w:val="center"/>
              <w:rPr>
                <w:rFonts w:asciiTheme="minorEastAsia" w:hAnsiTheme="minorEastAsia"/>
                <w:highlight w:val="none"/>
              </w:rPr>
            </w:pPr>
            <w:r>
              <w:rPr>
                <w:rFonts w:hint="eastAsia" w:asciiTheme="minorEastAsia" w:hAnsiTheme="minorEastAsia"/>
                <w:highlight w:val="none"/>
              </w:rPr>
              <w:t>投标文件副本份数及其他要求</w:t>
            </w:r>
          </w:p>
        </w:tc>
        <w:tc>
          <w:tcPr>
            <w:tcW w:w="6819" w:type="dxa"/>
            <w:vAlign w:val="center"/>
          </w:tcPr>
          <w:p>
            <w:pPr>
              <w:spacing w:line="276" w:lineRule="auto"/>
              <w:jc w:val="both"/>
              <w:rPr>
                <w:highlight w:val="none"/>
              </w:rPr>
            </w:pPr>
            <w:r>
              <w:rPr>
                <w:rFonts w:hint="eastAsia"/>
                <w:highlight w:val="none"/>
              </w:rPr>
              <w:t>投标文件副本份数：</w:t>
            </w:r>
          </w:p>
          <w:p>
            <w:pPr>
              <w:spacing w:line="276" w:lineRule="auto"/>
              <w:jc w:val="both"/>
              <w:rPr>
                <w:highlight w:val="none"/>
              </w:rPr>
            </w:pPr>
            <w:r>
              <w:rPr>
                <w:rFonts w:hint="eastAsia"/>
                <w:highlight w:val="none"/>
              </w:rPr>
              <w:t>商务及技术文件正本一份、副本一份；</w:t>
            </w:r>
          </w:p>
          <w:p>
            <w:pPr>
              <w:spacing w:line="276" w:lineRule="auto"/>
              <w:jc w:val="both"/>
              <w:rPr>
                <w:highlight w:val="none"/>
              </w:rPr>
            </w:pPr>
            <w:r>
              <w:rPr>
                <w:rFonts w:hint="eastAsia"/>
                <w:highlight w:val="none"/>
              </w:rPr>
              <w:t>报价文件正本一份、副本一份。</w:t>
            </w:r>
          </w:p>
          <w:p>
            <w:pPr>
              <w:spacing w:line="276" w:lineRule="auto"/>
              <w:jc w:val="both"/>
              <w:rPr>
                <w:highlight w:val="none"/>
              </w:rPr>
            </w:pPr>
            <w:r>
              <w:rPr>
                <w:rFonts w:hint="eastAsia"/>
                <w:highlight w:val="none"/>
              </w:rPr>
              <w:t>是否要求提交电子版文件：</w:t>
            </w:r>
          </w:p>
          <w:p>
            <w:pPr>
              <w:spacing w:line="276" w:lineRule="auto"/>
              <w:jc w:val="both"/>
              <w:rPr>
                <w:highlight w:val="none"/>
              </w:rPr>
            </w:pPr>
            <w:r>
              <w:rPr>
                <w:rFonts w:hint="eastAsia"/>
                <w:highlight w:val="none"/>
              </w:rPr>
              <w:t>是，所有投标文件电子文件壹份</w:t>
            </w:r>
            <w:r>
              <w:rPr>
                <w:rFonts w:hint="eastAsia"/>
                <w:highlight w:val="none"/>
                <w:lang w:val="en-US"/>
              </w:rPr>
              <w:t>（采用U盘存储），</w:t>
            </w:r>
            <w:r>
              <w:rPr>
                <w:rFonts w:hint="eastAsia"/>
                <w:highlight w:val="none"/>
              </w:rPr>
              <w:t>当电子文件与书面文件不一致时，以书面文件正本为准。</w:t>
            </w:r>
          </w:p>
          <w:p>
            <w:pPr>
              <w:pStyle w:val="21"/>
              <w:ind w:firstLine="0" w:firstLineChars="0"/>
              <w:jc w:val="both"/>
              <w:rPr>
                <w:highlight w:val="none"/>
                <w:lang w:val="en-US"/>
              </w:rPr>
            </w:pPr>
            <w:r>
              <w:rPr>
                <w:rFonts w:hint="eastAsia" w:asciiTheme="minorEastAsia" w:hAnsiTheme="minorEastAsia"/>
                <w:sz w:val="22"/>
                <w:szCs w:val="22"/>
                <w:highlight w:val="none"/>
                <w:lang w:val="en-US"/>
              </w:rPr>
              <w:t>当正本文件与副本文件不一致时，以正本文件为准。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61" w:type="dxa"/>
            <w:vAlign w:val="center"/>
          </w:tcPr>
          <w:p>
            <w:pPr>
              <w:spacing w:line="276" w:lineRule="auto"/>
              <w:jc w:val="center"/>
              <w:rPr>
                <w:rFonts w:asciiTheme="minorEastAsia" w:hAnsiTheme="minorEastAsia"/>
                <w:highlight w:val="none"/>
              </w:rPr>
            </w:pPr>
            <w:r>
              <w:rPr>
                <w:rFonts w:hint="eastAsia" w:asciiTheme="minorEastAsia" w:hAnsiTheme="minorEastAsia"/>
                <w:highlight w:val="none"/>
              </w:rPr>
              <w:t>3.</w:t>
            </w:r>
            <w:r>
              <w:rPr>
                <w:rFonts w:hint="eastAsia" w:asciiTheme="minorEastAsia" w:hAnsiTheme="minorEastAsia"/>
                <w:highlight w:val="none"/>
                <w:lang w:val="en-US"/>
              </w:rPr>
              <w:t>6</w:t>
            </w:r>
            <w:r>
              <w:rPr>
                <w:rFonts w:hint="eastAsia" w:asciiTheme="minorEastAsia" w:hAnsiTheme="minorEastAsia"/>
                <w:highlight w:val="none"/>
              </w:rPr>
              <w:t>.</w:t>
            </w:r>
            <w:r>
              <w:rPr>
                <w:rFonts w:hint="eastAsia" w:asciiTheme="minorEastAsia" w:hAnsiTheme="minorEastAsia"/>
                <w:highlight w:val="none"/>
                <w:lang w:val="en-US"/>
              </w:rPr>
              <w:t>5</w:t>
            </w:r>
          </w:p>
        </w:tc>
        <w:tc>
          <w:tcPr>
            <w:tcW w:w="1680" w:type="dxa"/>
            <w:vAlign w:val="center"/>
          </w:tcPr>
          <w:p>
            <w:pPr>
              <w:spacing w:line="360" w:lineRule="auto"/>
              <w:jc w:val="center"/>
              <w:rPr>
                <w:rFonts w:asciiTheme="minorEastAsia" w:hAnsiTheme="minorEastAsia"/>
                <w:highlight w:val="none"/>
              </w:rPr>
            </w:pPr>
            <w:r>
              <w:rPr>
                <w:rFonts w:hint="eastAsia" w:asciiTheme="minorEastAsia" w:hAnsiTheme="minorEastAsia"/>
                <w:highlight w:val="none"/>
              </w:rPr>
              <w:t xml:space="preserve">投标文件是否需分册装订  </w:t>
            </w:r>
          </w:p>
        </w:tc>
        <w:tc>
          <w:tcPr>
            <w:tcW w:w="6819" w:type="dxa"/>
            <w:vAlign w:val="center"/>
          </w:tcPr>
          <w:p>
            <w:pPr>
              <w:adjustRightInd w:val="0"/>
              <w:spacing w:line="360" w:lineRule="auto"/>
              <w:jc w:val="both"/>
              <w:rPr>
                <w:rFonts w:asciiTheme="minorEastAsia" w:hAnsiTheme="minorEastAsia"/>
                <w:highlight w:val="none"/>
              </w:rPr>
            </w:pPr>
            <w:r>
              <w:rPr>
                <w:rFonts w:hint="eastAsia" w:asciiTheme="minorEastAsia" w:hAnsiTheme="minorEastAsia"/>
                <w:highlight w:val="none"/>
              </w:rPr>
              <w:t>分册装订要求：</w:t>
            </w:r>
          </w:p>
          <w:p>
            <w:pPr>
              <w:adjustRightInd w:val="0"/>
              <w:spacing w:line="360" w:lineRule="auto"/>
              <w:jc w:val="both"/>
              <w:rPr>
                <w:rFonts w:asciiTheme="minorEastAsia" w:hAnsiTheme="minorEastAsia"/>
                <w:highlight w:val="none"/>
              </w:rPr>
            </w:pPr>
            <w:r>
              <w:rPr>
                <w:rFonts w:hint="eastAsia" w:asciiTheme="minorEastAsia" w:hAnsiTheme="minorEastAsia"/>
                <w:highlight w:val="none"/>
              </w:rPr>
              <w:t>投标文件的正本与副本应分别装订成册，统一采用胶装装订。否则，招标人对由于投标文件装订松散而造成的丢失或其他后果不承担任何责任。投标文件应编制目录，并且从目录开始逐页标注连续页码。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71" w:hRule="atLeast"/>
          <w:jc w:val="center"/>
        </w:trPr>
        <w:tc>
          <w:tcPr>
            <w:tcW w:w="1061" w:type="dxa"/>
            <w:vAlign w:val="center"/>
          </w:tcPr>
          <w:p>
            <w:pPr>
              <w:spacing w:line="276" w:lineRule="auto"/>
              <w:jc w:val="center"/>
              <w:rPr>
                <w:rFonts w:asciiTheme="minorEastAsia" w:hAnsiTheme="minorEastAsia"/>
                <w:highlight w:val="none"/>
              </w:rPr>
            </w:pPr>
            <w:r>
              <w:rPr>
                <w:rFonts w:hint="eastAsia" w:asciiTheme="minorEastAsia" w:hAnsiTheme="minorEastAsia"/>
                <w:highlight w:val="none"/>
              </w:rPr>
              <w:t>4.1.1</w:t>
            </w:r>
          </w:p>
        </w:tc>
        <w:tc>
          <w:tcPr>
            <w:tcW w:w="1680" w:type="dxa"/>
            <w:vAlign w:val="center"/>
          </w:tcPr>
          <w:p>
            <w:pPr>
              <w:adjustRightInd w:val="0"/>
              <w:spacing w:line="276" w:lineRule="auto"/>
              <w:jc w:val="center"/>
              <w:rPr>
                <w:rFonts w:asciiTheme="minorEastAsia" w:hAnsiTheme="minorEastAsia"/>
                <w:highlight w:val="none"/>
              </w:rPr>
            </w:pPr>
            <w:r>
              <w:rPr>
                <w:rFonts w:hint="eastAsia" w:asciiTheme="minorEastAsia" w:hAnsiTheme="minorEastAsia"/>
                <w:highlight w:val="none"/>
              </w:rPr>
              <w:t>投标文件加密要求</w:t>
            </w:r>
          </w:p>
        </w:tc>
        <w:tc>
          <w:tcPr>
            <w:tcW w:w="6819" w:type="dxa"/>
            <w:vAlign w:val="center"/>
          </w:tcPr>
          <w:p>
            <w:pPr>
              <w:adjustRightInd w:val="0"/>
              <w:spacing w:line="276" w:lineRule="auto"/>
              <w:jc w:val="both"/>
              <w:rPr>
                <w:rFonts w:asciiTheme="minorEastAsia" w:hAnsiTheme="minorEastAsia"/>
                <w:highlight w:val="none"/>
              </w:rPr>
            </w:pPr>
            <w:r>
              <w:rPr>
                <w:rFonts w:hint="eastAsia" w:asciiTheme="minorEastAsia" w:hAnsiTheme="minorEastAsia"/>
                <w:highlight w:val="none"/>
              </w:rPr>
              <w:t>本次招标采用双信封形式，投标文件第一个信封（商务及技术文件）以及第二个信封（报价文件）应单独密封包装。</w:t>
            </w:r>
          </w:p>
          <w:p>
            <w:pPr>
              <w:adjustRightInd w:val="0"/>
              <w:spacing w:line="276" w:lineRule="auto"/>
              <w:jc w:val="both"/>
              <w:rPr>
                <w:rFonts w:asciiTheme="minorEastAsia" w:hAnsiTheme="minorEastAsia"/>
                <w:highlight w:val="none"/>
              </w:rPr>
            </w:pPr>
            <w:r>
              <w:rPr>
                <w:rFonts w:hint="eastAsia" w:asciiTheme="minorEastAsia" w:hAnsiTheme="minorEastAsia"/>
                <w:highlight w:val="none"/>
              </w:rPr>
              <w:t>商务及技术文件的正本与副本应统一密封在一个封套中。</w:t>
            </w:r>
          </w:p>
          <w:p>
            <w:pPr>
              <w:adjustRightInd w:val="0"/>
              <w:spacing w:line="276" w:lineRule="auto"/>
              <w:jc w:val="both"/>
              <w:rPr>
                <w:rFonts w:asciiTheme="minorEastAsia" w:hAnsiTheme="minorEastAsia"/>
                <w:highlight w:val="none"/>
              </w:rPr>
            </w:pPr>
            <w:r>
              <w:rPr>
                <w:rFonts w:hint="eastAsia" w:asciiTheme="minorEastAsia" w:hAnsiTheme="minorEastAsia"/>
                <w:highlight w:val="none"/>
              </w:rPr>
              <w:t>报价文件的正本与副本、 投标文件电子版文件应统一密封在另一个封套中。</w:t>
            </w:r>
          </w:p>
          <w:p>
            <w:pPr>
              <w:adjustRightInd w:val="0"/>
              <w:spacing w:line="276" w:lineRule="auto"/>
              <w:jc w:val="both"/>
              <w:rPr>
                <w:rFonts w:asciiTheme="minorEastAsia" w:hAnsiTheme="minorEastAsia"/>
                <w:highlight w:val="none"/>
              </w:rPr>
            </w:pPr>
            <w:r>
              <w:rPr>
                <w:rFonts w:hint="eastAsia" w:asciiTheme="minorEastAsia" w:hAnsiTheme="minorEastAsia"/>
                <w:highlight w:val="none"/>
              </w:rPr>
              <w:t xml:space="preserve">封套应加贴封条，并在封套的封口处加盖投标人单位章。（具体样式见4.1.2）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61" w:type="dxa"/>
            <w:vAlign w:val="center"/>
          </w:tcPr>
          <w:p>
            <w:pPr>
              <w:spacing w:line="276" w:lineRule="auto"/>
              <w:jc w:val="center"/>
              <w:rPr>
                <w:rFonts w:asciiTheme="minorEastAsia" w:hAnsiTheme="minorEastAsia"/>
                <w:highlight w:val="none"/>
              </w:rPr>
            </w:pPr>
            <w:r>
              <w:rPr>
                <w:rFonts w:asciiTheme="minorEastAsia" w:hAnsiTheme="minorEastAsia"/>
                <w:highlight w:val="none"/>
              </w:rPr>
              <w:t>4.1.2</w:t>
            </w:r>
          </w:p>
        </w:tc>
        <w:tc>
          <w:tcPr>
            <w:tcW w:w="1680" w:type="dxa"/>
            <w:vAlign w:val="center"/>
          </w:tcPr>
          <w:p>
            <w:pPr>
              <w:autoSpaceDE w:val="0"/>
              <w:autoSpaceDN w:val="0"/>
              <w:adjustRightInd w:val="0"/>
              <w:spacing w:line="276" w:lineRule="auto"/>
              <w:jc w:val="center"/>
              <w:rPr>
                <w:rFonts w:asciiTheme="minorEastAsia" w:hAnsiTheme="minorEastAsia"/>
                <w:highlight w:val="none"/>
              </w:rPr>
            </w:pPr>
            <w:r>
              <w:rPr>
                <w:rFonts w:hint="eastAsia" w:cs="宋体" w:asciiTheme="minorEastAsia" w:hAnsiTheme="minorEastAsia"/>
                <w:kern w:val="0"/>
                <w:sz w:val="22"/>
                <w:highlight w:val="none"/>
              </w:rPr>
              <w:t>封套上应载明的信息</w:t>
            </w:r>
          </w:p>
        </w:tc>
        <w:tc>
          <w:tcPr>
            <w:tcW w:w="6819" w:type="dxa"/>
            <w:vAlign w:val="center"/>
          </w:tcPr>
          <w:p>
            <w:pPr>
              <w:spacing w:line="276" w:lineRule="auto"/>
              <w:jc w:val="left"/>
              <w:rPr>
                <w:highlight w:val="none"/>
              </w:rPr>
            </w:pPr>
            <w:r>
              <w:rPr>
                <w:rFonts w:hint="eastAsia"/>
                <w:highlight w:val="none"/>
              </w:rPr>
              <w:t xml:space="preserve">本次招标采用双信封形式 </w:t>
            </w:r>
          </w:p>
          <w:p>
            <w:pPr>
              <w:snapToGrid w:val="0"/>
              <w:spacing w:line="360" w:lineRule="exact"/>
              <w:jc w:val="both"/>
              <w:rPr>
                <w:rFonts w:ascii="宋体" w:hAnsi="宋体" w:cs="宋体"/>
                <w:b/>
                <w:kern w:val="0"/>
                <w:szCs w:val="21"/>
                <w:highlight w:val="none"/>
              </w:rPr>
            </w:pPr>
            <w:r>
              <w:rPr>
                <w:rFonts w:hint="eastAsia" w:ascii="宋体" w:hAnsi="宋体" w:cs="宋体"/>
                <w:b/>
                <w:kern w:val="0"/>
                <w:szCs w:val="21"/>
                <w:highlight w:val="none"/>
              </w:rPr>
              <w:t>投标文件第一信封（商务及技术文件）封套：</w:t>
            </w:r>
          </w:p>
          <w:p>
            <w:pPr>
              <w:snapToGrid w:val="0"/>
              <w:spacing w:line="360" w:lineRule="exact"/>
              <w:jc w:val="both"/>
              <w:rPr>
                <w:rFonts w:ascii="宋体" w:hAnsi="宋体" w:cs="宋体"/>
                <w:szCs w:val="21"/>
                <w:highlight w:val="none"/>
                <w:u w:val="single"/>
              </w:rPr>
            </w:pPr>
            <w:r>
              <w:rPr>
                <w:rFonts w:hint="eastAsia" w:ascii="宋体" w:hAnsi="宋体" w:cs="宋体"/>
                <w:szCs w:val="21"/>
                <w:highlight w:val="none"/>
              </w:rPr>
              <w:t>招标人名称：_________________</w:t>
            </w:r>
          </w:p>
          <w:p>
            <w:pPr>
              <w:snapToGrid w:val="0"/>
              <w:spacing w:line="360" w:lineRule="exact"/>
              <w:jc w:val="both"/>
              <w:rPr>
                <w:rFonts w:ascii="宋体" w:hAnsi="宋体" w:cs="宋体"/>
                <w:b/>
                <w:kern w:val="0"/>
                <w:szCs w:val="21"/>
                <w:highlight w:val="none"/>
              </w:rPr>
            </w:pPr>
            <w:r>
              <w:rPr>
                <w:rFonts w:hint="eastAsia" w:ascii="宋体" w:hAnsi="宋体" w:cs="宋体"/>
                <w:szCs w:val="21"/>
                <w:highlight w:val="none"/>
              </w:rPr>
              <w:t>招标人地址：__________________</w:t>
            </w:r>
          </w:p>
          <w:p>
            <w:pPr>
              <w:snapToGrid w:val="0"/>
              <w:spacing w:line="360" w:lineRule="exact"/>
              <w:jc w:val="both"/>
              <w:rPr>
                <w:rFonts w:ascii="宋体" w:hAnsi="宋体" w:cs="宋体"/>
                <w:szCs w:val="21"/>
                <w:highlight w:val="none"/>
              </w:rPr>
            </w:pPr>
            <w:r>
              <w:rPr>
                <w:rFonts w:hint="eastAsia" w:ascii="宋体" w:hAnsi="宋体" w:cs="宋体"/>
                <w:szCs w:val="21"/>
                <w:highlight w:val="none"/>
              </w:rPr>
              <w:t>__________________（项目名称）招标第一信封（商务文件及技术文件）投标文件</w:t>
            </w:r>
          </w:p>
          <w:p>
            <w:pPr>
              <w:snapToGrid w:val="0"/>
              <w:spacing w:line="360" w:lineRule="exact"/>
              <w:jc w:val="both"/>
              <w:rPr>
                <w:rFonts w:ascii="宋体" w:hAnsi="宋体" w:cs="宋体"/>
                <w:szCs w:val="21"/>
                <w:highlight w:val="none"/>
              </w:rPr>
            </w:pPr>
            <w:r>
              <w:rPr>
                <w:rFonts w:hint="eastAsia" w:ascii="宋体" w:hAnsi="宋体" w:cs="宋体"/>
                <w:szCs w:val="21"/>
                <w:highlight w:val="none"/>
              </w:rPr>
              <w:t xml:space="preserve">招标项目编号：__________________ </w:t>
            </w:r>
          </w:p>
          <w:p>
            <w:pPr>
              <w:snapToGrid w:val="0"/>
              <w:spacing w:line="360" w:lineRule="exact"/>
              <w:jc w:val="both"/>
              <w:rPr>
                <w:rFonts w:ascii="宋体" w:hAnsi="宋体" w:cs="宋体"/>
                <w:szCs w:val="21"/>
                <w:highlight w:val="none"/>
              </w:rPr>
            </w:pPr>
            <w:r>
              <w:rPr>
                <w:rFonts w:hint="eastAsia" w:ascii="宋体" w:hAnsi="宋体" w:cs="宋体"/>
                <w:szCs w:val="21"/>
                <w:highlight w:val="none"/>
              </w:rPr>
              <w:t>在____年____月____日____时____分前不得开封</w:t>
            </w:r>
          </w:p>
          <w:p>
            <w:pPr>
              <w:snapToGrid w:val="0"/>
              <w:spacing w:line="360" w:lineRule="exact"/>
              <w:jc w:val="both"/>
              <w:rPr>
                <w:rFonts w:ascii="宋体" w:hAnsi="宋体" w:cs="宋体"/>
                <w:szCs w:val="21"/>
                <w:highlight w:val="none"/>
              </w:rPr>
            </w:pPr>
            <w:r>
              <w:rPr>
                <w:rFonts w:hint="eastAsia" w:ascii="宋体" w:hAnsi="宋体" w:cs="宋体"/>
                <w:szCs w:val="21"/>
                <w:highlight w:val="none"/>
              </w:rPr>
              <w:t xml:space="preserve">投标人名称：__________________ </w:t>
            </w:r>
          </w:p>
          <w:p>
            <w:pPr>
              <w:snapToGrid w:val="0"/>
              <w:spacing w:line="360" w:lineRule="exact"/>
              <w:jc w:val="both"/>
              <w:rPr>
                <w:rFonts w:ascii="宋体" w:hAnsi="宋体" w:cs="宋体"/>
                <w:b/>
                <w:kern w:val="0"/>
                <w:szCs w:val="21"/>
                <w:highlight w:val="none"/>
              </w:rPr>
            </w:pPr>
            <w:r>
              <w:rPr>
                <w:rFonts w:hint="eastAsia" w:ascii="宋体" w:hAnsi="宋体" w:cs="宋体"/>
                <w:b/>
                <w:kern w:val="0"/>
                <w:szCs w:val="21"/>
                <w:highlight w:val="none"/>
              </w:rPr>
              <w:t>投标文件第二信封（报价文件）封套：</w:t>
            </w:r>
          </w:p>
          <w:p>
            <w:pPr>
              <w:snapToGrid w:val="0"/>
              <w:spacing w:line="360" w:lineRule="exact"/>
              <w:jc w:val="both"/>
              <w:rPr>
                <w:rFonts w:ascii="宋体" w:hAnsi="宋体" w:cs="宋体"/>
                <w:szCs w:val="21"/>
                <w:highlight w:val="none"/>
                <w:u w:val="single"/>
              </w:rPr>
            </w:pPr>
            <w:r>
              <w:rPr>
                <w:rFonts w:hint="eastAsia" w:ascii="宋体" w:hAnsi="宋体" w:cs="宋体"/>
                <w:szCs w:val="21"/>
                <w:highlight w:val="none"/>
              </w:rPr>
              <w:t>招标人名称：__________________</w:t>
            </w:r>
          </w:p>
          <w:p>
            <w:pPr>
              <w:snapToGrid w:val="0"/>
              <w:spacing w:line="360" w:lineRule="exact"/>
              <w:jc w:val="both"/>
              <w:rPr>
                <w:rFonts w:ascii="宋体" w:hAnsi="宋体" w:cs="宋体"/>
                <w:b/>
                <w:kern w:val="0"/>
                <w:szCs w:val="21"/>
                <w:highlight w:val="none"/>
              </w:rPr>
            </w:pPr>
            <w:r>
              <w:rPr>
                <w:rFonts w:hint="eastAsia" w:ascii="宋体" w:hAnsi="宋体" w:cs="宋体"/>
                <w:szCs w:val="21"/>
                <w:highlight w:val="none"/>
              </w:rPr>
              <w:t>招标人地址：__________________</w:t>
            </w:r>
          </w:p>
          <w:p>
            <w:pPr>
              <w:snapToGrid w:val="0"/>
              <w:spacing w:line="360" w:lineRule="exact"/>
              <w:jc w:val="both"/>
              <w:rPr>
                <w:rFonts w:ascii="宋体" w:hAnsi="宋体" w:cs="宋体"/>
                <w:szCs w:val="21"/>
                <w:highlight w:val="none"/>
              </w:rPr>
            </w:pPr>
            <w:r>
              <w:rPr>
                <w:rFonts w:hint="eastAsia" w:ascii="宋体" w:hAnsi="宋体" w:cs="宋体"/>
                <w:szCs w:val="21"/>
                <w:highlight w:val="none"/>
              </w:rPr>
              <w:t>__________________（项目名称）招标第二信封（报价文件）</w:t>
            </w:r>
          </w:p>
          <w:p>
            <w:pPr>
              <w:snapToGrid w:val="0"/>
              <w:spacing w:line="360" w:lineRule="exact"/>
              <w:jc w:val="both"/>
              <w:rPr>
                <w:rFonts w:ascii="宋体" w:hAnsi="宋体" w:cs="宋体"/>
                <w:highlight w:val="none"/>
              </w:rPr>
            </w:pPr>
            <w:r>
              <w:rPr>
                <w:rFonts w:hint="eastAsia" w:ascii="宋体" w:hAnsi="宋体" w:cs="宋体"/>
                <w:szCs w:val="21"/>
                <w:highlight w:val="none"/>
              </w:rPr>
              <w:t>招标项目编号：__________________</w:t>
            </w:r>
          </w:p>
          <w:p>
            <w:pPr>
              <w:snapToGrid w:val="0"/>
              <w:spacing w:line="360" w:lineRule="exact"/>
              <w:jc w:val="both"/>
              <w:rPr>
                <w:rFonts w:ascii="宋体" w:hAnsi="宋体" w:cs="宋体"/>
                <w:szCs w:val="21"/>
                <w:highlight w:val="none"/>
              </w:rPr>
            </w:pPr>
            <w:r>
              <w:rPr>
                <w:rFonts w:hint="eastAsia" w:ascii="宋体" w:hAnsi="宋体" w:cs="宋体"/>
                <w:szCs w:val="21"/>
                <w:highlight w:val="none"/>
              </w:rPr>
              <w:t>在投标文件第二信封（报价文件）开标前不得开封</w:t>
            </w:r>
          </w:p>
          <w:p>
            <w:pPr>
              <w:snapToGrid w:val="0"/>
              <w:spacing w:line="360" w:lineRule="exact"/>
              <w:jc w:val="both"/>
              <w:rPr>
                <w:rFonts w:ascii="宋体" w:hAnsi="宋体" w:cs="宋体"/>
                <w:szCs w:val="21"/>
                <w:highlight w:val="none"/>
              </w:rPr>
            </w:pPr>
            <w:r>
              <w:rPr>
                <w:rFonts w:hint="eastAsia" w:ascii="宋体" w:hAnsi="宋体" w:cs="宋体"/>
                <w:szCs w:val="21"/>
                <w:highlight w:val="none"/>
              </w:rPr>
              <w:t>投标人名称：__________________</w:t>
            </w:r>
          </w:p>
          <w:p>
            <w:pPr>
              <w:pStyle w:val="2"/>
              <w:ind w:left="0" w:leftChars="0" w:firstLine="0" w:firstLineChars="0"/>
              <w:jc w:val="both"/>
              <w:rPr>
                <w:highlight w:val="none"/>
                <w:lang w:val="en-US"/>
              </w:rPr>
            </w:pPr>
            <w:r>
              <w:rPr>
                <w:rFonts w:hint="eastAsia" w:ascii="宋体" w:hAnsi="宋体" w:eastAsia="宋体" w:cs="宋体"/>
                <w:b/>
                <w:kern w:val="0"/>
                <w:sz w:val="21"/>
                <w:szCs w:val="21"/>
                <w:highlight w:val="none"/>
                <w:lang w:val="en-US" w:eastAsia="zh-CN" w:bidi="ar-SA"/>
              </w:rPr>
              <w:t>3.投标人每份投标文件应同时递交二个信封，即：第一信封（商务及技术文件）、第二信封（报价文件）。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8" w:hRule="atLeast"/>
          <w:jc w:val="center"/>
        </w:trPr>
        <w:tc>
          <w:tcPr>
            <w:tcW w:w="1061" w:type="dxa"/>
            <w:vAlign w:val="center"/>
          </w:tcPr>
          <w:p>
            <w:pPr>
              <w:spacing w:line="276" w:lineRule="auto"/>
              <w:jc w:val="center"/>
              <w:rPr>
                <w:rFonts w:asciiTheme="minorEastAsia" w:hAnsiTheme="minorEastAsia"/>
                <w:highlight w:val="none"/>
              </w:rPr>
            </w:pPr>
            <w:r>
              <w:rPr>
                <w:rFonts w:asciiTheme="minorEastAsia" w:hAnsiTheme="minorEastAsia"/>
                <w:highlight w:val="none"/>
              </w:rPr>
              <w:t>4.2.1</w:t>
            </w:r>
          </w:p>
        </w:tc>
        <w:tc>
          <w:tcPr>
            <w:tcW w:w="1680" w:type="dxa"/>
            <w:vAlign w:val="center"/>
          </w:tcPr>
          <w:p>
            <w:pPr>
              <w:spacing w:line="360" w:lineRule="auto"/>
              <w:jc w:val="center"/>
              <w:rPr>
                <w:rFonts w:asciiTheme="minorEastAsia" w:hAnsiTheme="minorEastAsia"/>
                <w:highlight w:val="none"/>
              </w:rPr>
            </w:pPr>
            <w:r>
              <w:rPr>
                <w:rFonts w:hint="eastAsia" w:asciiTheme="minorEastAsia" w:hAnsiTheme="minorEastAsia"/>
                <w:highlight w:val="none"/>
              </w:rPr>
              <w:t>投标截止时间</w:t>
            </w:r>
          </w:p>
        </w:tc>
        <w:tc>
          <w:tcPr>
            <w:tcW w:w="6819" w:type="dxa"/>
            <w:vAlign w:val="center"/>
          </w:tcPr>
          <w:p>
            <w:pPr>
              <w:spacing w:line="360" w:lineRule="auto"/>
              <w:jc w:val="both"/>
              <w:rPr>
                <w:rFonts w:asciiTheme="minorEastAsia" w:hAnsiTheme="minorEastAsia"/>
                <w:highlight w:val="none"/>
              </w:rPr>
            </w:pPr>
            <w:r>
              <w:rPr>
                <w:rFonts w:hint="eastAsia" w:asciiTheme="minorEastAsia" w:hAnsiTheme="minorEastAsia"/>
                <w:highlight w:val="none"/>
                <w:lang w:val="en-US"/>
              </w:rPr>
              <w:t>详见招标公告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61" w:type="dxa"/>
            <w:vAlign w:val="center"/>
          </w:tcPr>
          <w:p>
            <w:pPr>
              <w:spacing w:line="276" w:lineRule="auto"/>
              <w:jc w:val="center"/>
              <w:rPr>
                <w:rFonts w:asciiTheme="minorEastAsia" w:hAnsiTheme="minorEastAsia"/>
                <w:highlight w:val="none"/>
              </w:rPr>
            </w:pPr>
            <w:r>
              <w:rPr>
                <w:rFonts w:hint="eastAsia" w:asciiTheme="minorEastAsia" w:hAnsiTheme="minorEastAsia"/>
                <w:highlight w:val="none"/>
              </w:rPr>
              <w:t>4.2.2</w:t>
            </w:r>
          </w:p>
        </w:tc>
        <w:tc>
          <w:tcPr>
            <w:tcW w:w="1680" w:type="dxa"/>
            <w:vAlign w:val="center"/>
          </w:tcPr>
          <w:p>
            <w:pPr>
              <w:spacing w:line="360" w:lineRule="auto"/>
              <w:jc w:val="center"/>
              <w:rPr>
                <w:rFonts w:asciiTheme="minorEastAsia" w:hAnsiTheme="minorEastAsia"/>
                <w:highlight w:val="none"/>
              </w:rPr>
            </w:pPr>
            <w:r>
              <w:rPr>
                <w:rFonts w:hint="eastAsia" w:asciiTheme="minorEastAsia" w:hAnsiTheme="minorEastAsia"/>
                <w:highlight w:val="none"/>
              </w:rPr>
              <w:t>递交投标文件地点</w:t>
            </w:r>
          </w:p>
        </w:tc>
        <w:tc>
          <w:tcPr>
            <w:tcW w:w="6819" w:type="dxa"/>
            <w:vAlign w:val="center"/>
          </w:tcPr>
          <w:p>
            <w:pPr>
              <w:spacing w:line="360" w:lineRule="auto"/>
              <w:jc w:val="both"/>
              <w:rPr>
                <w:rFonts w:asciiTheme="minorEastAsia" w:hAnsiTheme="minorEastAsia"/>
                <w:highlight w:val="none"/>
              </w:rPr>
            </w:pPr>
            <w:r>
              <w:rPr>
                <w:rFonts w:hint="eastAsia" w:asciiTheme="minorEastAsia" w:hAnsiTheme="minorEastAsia"/>
                <w:highlight w:val="none"/>
              </w:rPr>
              <w:t>开标时间：同投标截止时间</w:t>
            </w:r>
          </w:p>
          <w:p>
            <w:pPr>
              <w:spacing w:line="360" w:lineRule="auto"/>
              <w:jc w:val="both"/>
              <w:rPr>
                <w:rFonts w:asciiTheme="minorEastAsia" w:hAnsiTheme="minorEastAsia"/>
                <w:highlight w:val="none"/>
              </w:rPr>
            </w:pPr>
            <w:r>
              <w:rPr>
                <w:rFonts w:hint="eastAsia" w:asciiTheme="minorEastAsia" w:hAnsiTheme="minorEastAsia"/>
                <w:highlight w:val="none"/>
              </w:rPr>
              <w:t>开标地点：二戈寨八公里东方现代钢材市场1号楼4楼会议室。</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61" w:type="dxa"/>
            <w:vAlign w:val="center"/>
          </w:tcPr>
          <w:p>
            <w:pPr>
              <w:spacing w:line="276" w:lineRule="auto"/>
              <w:jc w:val="center"/>
              <w:rPr>
                <w:rFonts w:asciiTheme="minorEastAsia" w:hAnsiTheme="minorEastAsia"/>
                <w:highlight w:val="none"/>
              </w:rPr>
            </w:pPr>
            <w:r>
              <w:rPr>
                <w:rFonts w:asciiTheme="minorEastAsia" w:hAnsiTheme="minorEastAsia"/>
                <w:highlight w:val="none"/>
              </w:rPr>
              <w:t>4.2.3</w:t>
            </w:r>
          </w:p>
        </w:tc>
        <w:tc>
          <w:tcPr>
            <w:tcW w:w="1680" w:type="dxa"/>
            <w:vAlign w:val="center"/>
          </w:tcPr>
          <w:p>
            <w:pPr>
              <w:spacing w:line="276" w:lineRule="auto"/>
              <w:jc w:val="center"/>
              <w:rPr>
                <w:rFonts w:asciiTheme="minorEastAsia" w:hAnsiTheme="minorEastAsia"/>
                <w:highlight w:val="none"/>
              </w:rPr>
            </w:pPr>
            <w:r>
              <w:rPr>
                <w:rFonts w:hint="eastAsia" w:asciiTheme="minorEastAsia" w:hAnsiTheme="minorEastAsia"/>
                <w:highlight w:val="none"/>
              </w:rPr>
              <w:t>投标文件是否退还</w:t>
            </w:r>
          </w:p>
        </w:tc>
        <w:tc>
          <w:tcPr>
            <w:tcW w:w="6819" w:type="dxa"/>
            <w:vAlign w:val="center"/>
          </w:tcPr>
          <w:p>
            <w:pPr>
              <w:spacing w:line="276" w:lineRule="auto"/>
              <w:jc w:val="left"/>
              <w:rPr>
                <w:rFonts w:asciiTheme="minorEastAsia" w:hAnsiTheme="minorEastAsia"/>
                <w:highlight w:val="none"/>
              </w:rPr>
            </w:pPr>
            <w:r>
              <w:rPr>
                <w:rFonts w:hint="eastAsia" w:asciiTheme="minorEastAsia" w:hAnsiTheme="minorEastAsia"/>
                <w:highlight w:val="none"/>
              </w:rPr>
              <w:t>（</w:t>
            </w:r>
            <w:r>
              <w:rPr>
                <w:rFonts w:hint="eastAsia" w:asciiTheme="minorEastAsia" w:hAnsiTheme="minorEastAsia"/>
                <w:highlight w:val="none"/>
                <w:lang w:val="en-US"/>
              </w:rPr>
              <w:t>1</w:t>
            </w:r>
            <w:r>
              <w:rPr>
                <w:rFonts w:hint="eastAsia" w:asciiTheme="minorEastAsia" w:hAnsiTheme="minorEastAsia"/>
                <w:highlight w:val="none"/>
              </w:rPr>
              <w:t>）投标人不少于3人的，投标文件第一个信封均不予退还，投标人少于3人的，投标文件（含第一、二信封）当场退还给投标人。</w:t>
            </w:r>
          </w:p>
          <w:p>
            <w:pPr>
              <w:spacing w:line="276" w:lineRule="auto"/>
              <w:jc w:val="left"/>
              <w:rPr>
                <w:rFonts w:asciiTheme="minorEastAsia" w:hAnsiTheme="minorEastAsia"/>
                <w:highlight w:val="none"/>
              </w:rPr>
            </w:pPr>
            <w:r>
              <w:rPr>
                <w:rFonts w:hint="eastAsia" w:asciiTheme="minorEastAsia" w:hAnsiTheme="minorEastAsia"/>
                <w:highlight w:val="none"/>
              </w:rPr>
              <w:t>（2）有效投标人少于3人的，</w:t>
            </w:r>
            <w:r>
              <w:rPr>
                <w:rFonts w:hint="eastAsia" w:asciiTheme="minorEastAsia" w:hAnsiTheme="minorEastAsia"/>
                <w:highlight w:val="none"/>
                <w:lang w:val="en-US"/>
              </w:rPr>
              <w:t>参照第</w:t>
            </w:r>
            <w:r>
              <w:rPr>
                <w:rFonts w:hint="eastAsia" w:asciiTheme="minorEastAsia" w:hAnsiTheme="minorEastAsia"/>
                <w:highlight w:val="none"/>
              </w:rPr>
              <w:t>10.5</w:t>
            </w:r>
            <w:r>
              <w:rPr>
                <w:rFonts w:hint="eastAsia" w:asciiTheme="minorEastAsia" w:hAnsiTheme="minorEastAsia"/>
                <w:highlight w:val="none"/>
                <w:lang w:val="en-US"/>
              </w:rPr>
              <w:t>条执行</w:t>
            </w:r>
            <w:r>
              <w:rPr>
                <w:rFonts w:hint="eastAsia" w:asciiTheme="minorEastAsia" w:hAnsiTheme="minorEastAsia"/>
                <w:highlight w:val="none"/>
              </w:rPr>
              <w:t>。</w:t>
            </w:r>
          </w:p>
          <w:p>
            <w:pPr>
              <w:spacing w:line="360" w:lineRule="auto"/>
              <w:jc w:val="both"/>
              <w:rPr>
                <w:rFonts w:asciiTheme="minorEastAsia" w:hAnsiTheme="minorEastAsia"/>
                <w:highlight w:val="none"/>
              </w:rPr>
            </w:pPr>
            <w:r>
              <w:rPr>
                <w:rFonts w:hint="eastAsia" w:asciiTheme="minorEastAsia" w:hAnsiTheme="minorEastAsia"/>
                <w:highlight w:val="none"/>
              </w:rPr>
              <w:t>（3）对未通过第一个信封评审的投标人，其第二个信封在第二信封开标现场予以退还，如投标人未参加第二个信封开标，可在评标结束后5个工作日内联系招标人自取，5个工作日后招标人将不再负责保存。</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61" w:type="dxa"/>
            <w:vAlign w:val="center"/>
          </w:tcPr>
          <w:p>
            <w:pPr>
              <w:spacing w:line="276" w:lineRule="auto"/>
              <w:jc w:val="center"/>
              <w:rPr>
                <w:rFonts w:asciiTheme="minorEastAsia" w:hAnsiTheme="minorEastAsia"/>
                <w:highlight w:val="none"/>
              </w:rPr>
            </w:pPr>
            <w:r>
              <w:rPr>
                <w:rFonts w:hint="eastAsia" w:asciiTheme="minorEastAsia" w:hAnsiTheme="minorEastAsia"/>
                <w:highlight w:val="none"/>
              </w:rPr>
              <w:t>5.1</w:t>
            </w:r>
          </w:p>
        </w:tc>
        <w:tc>
          <w:tcPr>
            <w:tcW w:w="1680" w:type="dxa"/>
            <w:vAlign w:val="center"/>
          </w:tcPr>
          <w:p>
            <w:pPr>
              <w:spacing w:line="276" w:lineRule="auto"/>
              <w:jc w:val="center"/>
              <w:rPr>
                <w:rFonts w:asciiTheme="minorEastAsia" w:hAnsiTheme="minorEastAsia"/>
                <w:highlight w:val="none"/>
              </w:rPr>
            </w:pPr>
            <w:r>
              <w:rPr>
                <w:rFonts w:hint="eastAsia" w:asciiTheme="minorEastAsia" w:hAnsiTheme="minorEastAsia"/>
                <w:highlight w:val="none"/>
              </w:rPr>
              <w:t>开标时间和地点</w:t>
            </w:r>
          </w:p>
        </w:tc>
        <w:tc>
          <w:tcPr>
            <w:tcW w:w="6819" w:type="dxa"/>
            <w:vAlign w:val="center"/>
          </w:tcPr>
          <w:p>
            <w:pPr>
              <w:spacing w:line="276" w:lineRule="auto"/>
              <w:jc w:val="both"/>
              <w:rPr>
                <w:rFonts w:asciiTheme="minorEastAsia" w:hAnsiTheme="minorEastAsia"/>
                <w:highlight w:val="none"/>
              </w:rPr>
            </w:pPr>
            <w:r>
              <w:rPr>
                <w:rFonts w:hint="eastAsia" w:asciiTheme="minorEastAsia" w:hAnsiTheme="minorEastAsia"/>
                <w:highlight w:val="none"/>
              </w:rPr>
              <w:t>投标文件第一信封（商务及技术文件）</w:t>
            </w:r>
          </w:p>
          <w:p>
            <w:pPr>
              <w:spacing w:line="276" w:lineRule="auto"/>
              <w:jc w:val="both"/>
              <w:rPr>
                <w:rFonts w:asciiTheme="minorEastAsia" w:hAnsiTheme="minorEastAsia"/>
                <w:highlight w:val="none"/>
              </w:rPr>
            </w:pPr>
            <w:r>
              <w:rPr>
                <w:rFonts w:hint="eastAsia" w:asciiTheme="minorEastAsia" w:hAnsiTheme="minorEastAsia"/>
                <w:highlight w:val="none"/>
              </w:rPr>
              <w:t>开标时间：同投标截止时间；</w:t>
            </w:r>
          </w:p>
          <w:p>
            <w:pPr>
              <w:spacing w:line="276" w:lineRule="auto"/>
              <w:jc w:val="both"/>
              <w:rPr>
                <w:rFonts w:asciiTheme="minorEastAsia" w:hAnsiTheme="minorEastAsia"/>
                <w:highlight w:val="none"/>
              </w:rPr>
            </w:pPr>
            <w:r>
              <w:rPr>
                <w:rFonts w:hint="eastAsia" w:asciiTheme="minorEastAsia" w:hAnsiTheme="minorEastAsia"/>
                <w:highlight w:val="none"/>
              </w:rPr>
              <w:t>开标地点：贵州省贵阳市东方现代钢材市场招标人指定会议室</w:t>
            </w:r>
          </w:p>
          <w:p>
            <w:pPr>
              <w:spacing w:line="276" w:lineRule="auto"/>
              <w:jc w:val="both"/>
              <w:rPr>
                <w:rFonts w:asciiTheme="minorEastAsia" w:hAnsiTheme="minorEastAsia"/>
                <w:highlight w:val="none"/>
              </w:rPr>
            </w:pPr>
          </w:p>
          <w:p>
            <w:pPr>
              <w:spacing w:line="276" w:lineRule="auto"/>
              <w:jc w:val="both"/>
              <w:rPr>
                <w:rFonts w:asciiTheme="minorEastAsia" w:hAnsiTheme="minorEastAsia"/>
                <w:highlight w:val="none"/>
              </w:rPr>
            </w:pPr>
            <w:r>
              <w:rPr>
                <w:rFonts w:hint="eastAsia" w:asciiTheme="minorEastAsia" w:hAnsiTheme="minorEastAsia"/>
                <w:highlight w:val="none"/>
              </w:rPr>
              <w:t>投标文件第二信封（报价文件）</w:t>
            </w:r>
          </w:p>
          <w:p>
            <w:pPr>
              <w:spacing w:line="276" w:lineRule="auto"/>
              <w:jc w:val="both"/>
              <w:rPr>
                <w:rFonts w:asciiTheme="minorEastAsia" w:hAnsiTheme="minorEastAsia"/>
                <w:highlight w:val="none"/>
                <w:lang w:val="en-US"/>
              </w:rPr>
            </w:pPr>
            <w:r>
              <w:rPr>
                <w:rFonts w:hint="eastAsia" w:asciiTheme="minorEastAsia" w:hAnsiTheme="minorEastAsia"/>
                <w:highlight w:val="none"/>
              </w:rPr>
              <w:t>开标时间：</w:t>
            </w:r>
            <w:r>
              <w:rPr>
                <w:rFonts w:hint="eastAsia" w:asciiTheme="minorEastAsia" w:hAnsiTheme="minorEastAsia"/>
                <w:highlight w:val="none"/>
                <w:lang w:val="en-US"/>
              </w:rPr>
              <w:t>第一信封开标现场通知</w:t>
            </w:r>
          </w:p>
          <w:p>
            <w:pPr>
              <w:spacing w:line="276" w:lineRule="auto"/>
              <w:jc w:val="both"/>
              <w:rPr>
                <w:rFonts w:asciiTheme="minorEastAsia" w:hAnsiTheme="minorEastAsia"/>
                <w:highlight w:val="none"/>
              </w:rPr>
            </w:pPr>
            <w:r>
              <w:rPr>
                <w:rFonts w:hint="eastAsia" w:asciiTheme="minorEastAsia" w:hAnsiTheme="minorEastAsia"/>
                <w:highlight w:val="none"/>
              </w:rPr>
              <w:t>开标地点：贵州省贵阳市东方现代钢材市场招标人指定会议室</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61" w:type="dxa"/>
            <w:vAlign w:val="center"/>
          </w:tcPr>
          <w:p>
            <w:pPr>
              <w:spacing w:line="276" w:lineRule="auto"/>
              <w:jc w:val="center"/>
              <w:rPr>
                <w:rFonts w:asciiTheme="minorEastAsia" w:hAnsiTheme="minorEastAsia"/>
                <w:highlight w:val="none"/>
              </w:rPr>
            </w:pPr>
            <w:r>
              <w:rPr>
                <w:rFonts w:hint="eastAsia" w:asciiTheme="minorEastAsia" w:hAnsiTheme="minorEastAsia"/>
                <w:highlight w:val="none"/>
              </w:rPr>
              <w:t xml:space="preserve">5.2 </w:t>
            </w:r>
          </w:p>
        </w:tc>
        <w:tc>
          <w:tcPr>
            <w:tcW w:w="1680" w:type="dxa"/>
            <w:vAlign w:val="center"/>
          </w:tcPr>
          <w:p>
            <w:pPr>
              <w:spacing w:line="276" w:lineRule="auto"/>
              <w:jc w:val="center"/>
              <w:rPr>
                <w:rFonts w:asciiTheme="minorEastAsia" w:hAnsiTheme="minorEastAsia"/>
                <w:highlight w:val="none"/>
              </w:rPr>
            </w:pPr>
            <w:r>
              <w:rPr>
                <w:rFonts w:hint="eastAsia" w:asciiTheme="minorEastAsia" w:hAnsiTheme="minorEastAsia"/>
                <w:highlight w:val="none"/>
              </w:rPr>
              <w:t>开标程序</w:t>
            </w:r>
          </w:p>
        </w:tc>
        <w:tc>
          <w:tcPr>
            <w:tcW w:w="6819" w:type="dxa"/>
            <w:vAlign w:val="center"/>
          </w:tcPr>
          <w:p>
            <w:pPr>
              <w:spacing w:line="276" w:lineRule="auto"/>
              <w:jc w:val="both"/>
              <w:rPr>
                <w:rFonts w:asciiTheme="minorEastAsia" w:hAnsiTheme="minorEastAsia"/>
                <w:b/>
                <w:highlight w:val="none"/>
              </w:rPr>
            </w:pPr>
            <w:r>
              <w:rPr>
                <w:rFonts w:hint="eastAsia" w:asciiTheme="minorEastAsia" w:hAnsiTheme="minorEastAsia"/>
                <w:b/>
                <w:highlight w:val="none"/>
              </w:rPr>
              <w:t>第一信封（商务及技术文件）开标：</w:t>
            </w:r>
          </w:p>
          <w:p>
            <w:pPr>
              <w:spacing w:line="276" w:lineRule="auto"/>
              <w:jc w:val="both"/>
              <w:rPr>
                <w:rFonts w:asciiTheme="minorEastAsia" w:hAnsiTheme="minorEastAsia"/>
                <w:highlight w:val="none"/>
              </w:rPr>
            </w:pPr>
            <w:r>
              <w:rPr>
                <w:rFonts w:hint="eastAsia" w:asciiTheme="minorEastAsia" w:hAnsiTheme="minorEastAsia"/>
                <w:highlight w:val="none"/>
              </w:rPr>
              <w:t>(1)宣布开标纪律；</w:t>
            </w:r>
          </w:p>
          <w:p>
            <w:pPr>
              <w:spacing w:line="276" w:lineRule="auto"/>
              <w:jc w:val="both"/>
              <w:rPr>
                <w:rFonts w:asciiTheme="minorEastAsia" w:hAnsiTheme="minorEastAsia"/>
                <w:highlight w:val="none"/>
              </w:rPr>
            </w:pPr>
            <w:r>
              <w:rPr>
                <w:rFonts w:hint="eastAsia" w:asciiTheme="minorEastAsia" w:hAnsiTheme="minorEastAsia"/>
                <w:highlight w:val="none"/>
              </w:rPr>
              <w:t>(2)公布在投标截止时间前递交投标文件的投标人家数；</w:t>
            </w:r>
          </w:p>
          <w:p>
            <w:pPr>
              <w:spacing w:line="276" w:lineRule="auto"/>
              <w:jc w:val="both"/>
              <w:rPr>
                <w:rFonts w:asciiTheme="minorEastAsia" w:hAnsiTheme="minorEastAsia"/>
                <w:highlight w:val="none"/>
              </w:rPr>
            </w:pPr>
            <w:r>
              <w:rPr>
                <w:rFonts w:hint="eastAsia" w:asciiTheme="minorEastAsia" w:hAnsiTheme="minorEastAsia"/>
                <w:highlight w:val="none"/>
              </w:rPr>
              <w:t>(3)宣布开标人、唱标人、记录人、监标人等有关人员姓名；投标保证金缴款情况，未按 3.4 款规定要求将投标保证金打入指定账户的，当场如实记录详情并签字。</w:t>
            </w:r>
          </w:p>
          <w:p>
            <w:pPr>
              <w:spacing w:line="276" w:lineRule="auto"/>
              <w:jc w:val="both"/>
              <w:rPr>
                <w:rFonts w:asciiTheme="minorEastAsia" w:hAnsiTheme="minorEastAsia"/>
                <w:highlight w:val="none"/>
              </w:rPr>
            </w:pPr>
            <w:r>
              <w:rPr>
                <w:rFonts w:hint="eastAsia" w:asciiTheme="minorEastAsia" w:hAnsiTheme="minorEastAsia"/>
                <w:highlight w:val="none"/>
              </w:rPr>
              <w:t>(4)由监标人或投标人代表检查投标文件的密封情况；</w:t>
            </w:r>
          </w:p>
          <w:p>
            <w:pPr>
              <w:spacing w:line="276" w:lineRule="auto"/>
              <w:jc w:val="both"/>
              <w:rPr>
                <w:rFonts w:asciiTheme="minorEastAsia" w:hAnsiTheme="minorEastAsia"/>
                <w:highlight w:val="none"/>
              </w:rPr>
            </w:pPr>
            <w:r>
              <w:rPr>
                <w:rFonts w:hint="eastAsia" w:asciiTheme="minorEastAsia" w:hAnsiTheme="minorEastAsia"/>
                <w:highlight w:val="none"/>
              </w:rPr>
              <w:t>(5)按照随机拆封顺序进行开标；</w:t>
            </w:r>
          </w:p>
          <w:p>
            <w:pPr>
              <w:spacing w:line="276" w:lineRule="auto"/>
              <w:jc w:val="both"/>
              <w:rPr>
                <w:rFonts w:asciiTheme="minorEastAsia" w:hAnsiTheme="minorEastAsia"/>
                <w:highlight w:val="none"/>
              </w:rPr>
            </w:pPr>
            <w:r>
              <w:rPr>
                <w:rFonts w:hint="eastAsia" w:asciiTheme="minorEastAsia" w:hAnsiTheme="minorEastAsia"/>
                <w:highlight w:val="none"/>
              </w:rPr>
              <w:t>(6)按照宣布的开标顺序当众开标，公布投标人名称、投标文件密封情况、递交投标保证金情况等，并记录在案。</w:t>
            </w:r>
          </w:p>
          <w:p>
            <w:pPr>
              <w:spacing w:line="276" w:lineRule="auto"/>
              <w:jc w:val="both"/>
              <w:rPr>
                <w:rFonts w:asciiTheme="minorEastAsia" w:hAnsiTheme="minorEastAsia"/>
                <w:highlight w:val="none"/>
              </w:rPr>
            </w:pPr>
            <w:r>
              <w:rPr>
                <w:rFonts w:hint="eastAsia" w:asciiTheme="minorEastAsia" w:hAnsiTheme="minorEastAsia"/>
                <w:highlight w:val="none"/>
              </w:rPr>
              <w:t>(7)投标人代表、招标人代表、监标人、记录人等有关人员在开标记录上签字确认；</w:t>
            </w:r>
          </w:p>
          <w:p>
            <w:pPr>
              <w:spacing w:line="276" w:lineRule="auto"/>
              <w:jc w:val="both"/>
              <w:rPr>
                <w:rFonts w:asciiTheme="minorEastAsia" w:hAnsiTheme="minorEastAsia"/>
                <w:highlight w:val="none"/>
              </w:rPr>
            </w:pPr>
            <w:r>
              <w:rPr>
                <w:rFonts w:hint="eastAsia" w:asciiTheme="minorEastAsia" w:hAnsiTheme="minorEastAsia"/>
                <w:highlight w:val="none"/>
              </w:rPr>
              <w:t>(8)当场通知各投标人第二信封预计开标时间。</w:t>
            </w:r>
          </w:p>
          <w:p>
            <w:pPr>
              <w:spacing w:line="276" w:lineRule="auto"/>
              <w:jc w:val="both"/>
              <w:rPr>
                <w:rFonts w:asciiTheme="minorEastAsia" w:hAnsiTheme="minorEastAsia"/>
                <w:b/>
                <w:highlight w:val="none"/>
              </w:rPr>
            </w:pPr>
            <w:r>
              <w:rPr>
                <w:rFonts w:hint="eastAsia" w:asciiTheme="minorEastAsia" w:hAnsiTheme="minorEastAsia"/>
                <w:b/>
                <w:highlight w:val="none"/>
              </w:rPr>
              <w:t>第二信封（报价文件）开标：</w:t>
            </w:r>
          </w:p>
          <w:p>
            <w:pPr>
              <w:spacing w:line="276" w:lineRule="auto"/>
              <w:jc w:val="both"/>
              <w:rPr>
                <w:rFonts w:asciiTheme="minorEastAsia" w:hAnsiTheme="minorEastAsia"/>
                <w:highlight w:val="none"/>
              </w:rPr>
            </w:pPr>
            <w:r>
              <w:rPr>
                <w:rFonts w:hint="eastAsia" w:asciiTheme="minorEastAsia" w:hAnsiTheme="minorEastAsia"/>
                <w:highlight w:val="none"/>
              </w:rPr>
              <w:t>(1)宣布开标纪律；</w:t>
            </w:r>
          </w:p>
          <w:p>
            <w:pPr>
              <w:spacing w:line="276" w:lineRule="auto"/>
              <w:jc w:val="both"/>
              <w:rPr>
                <w:rFonts w:asciiTheme="minorEastAsia" w:hAnsiTheme="minorEastAsia"/>
                <w:highlight w:val="none"/>
              </w:rPr>
            </w:pPr>
            <w:r>
              <w:rPr>
                <w:rFonts w:hint="eastAsia" w:asciiTheme="minorEastAsia" w:hAnsiTheme="minorEastAsia"/>
                <w:highlight w:val="none"/>
              </w:rPr>
              <w:t>(2)宣布开标人、唱标人、记录人、监标人等有关人员姓名；</w:t>
            </w:r>
          </w:p>
          <w:p>
            <w:pPr>
              <w:spacing w:line="276" w:lineRule="auto"/>
              <w:jc w:val="both"/>
              <w:rPr>
                <w:rFonts w:asciiTheme="minorEastAsia" w:hAnsiTheme="minorEastAsia"/>
                <w:highlight w:val="none"/>
              </w:rPr>
            </w:pPr>
            <w:r>
              <w:rPr>
                <w:rFonts w:hint="eastAsia" w:asciiTheme="minorEastAsia" w:hAnsiTheme="minorEastAsia"/>
                <w:highlight w:val="none"/>
              </w:rPr>
              <w:t>(3)宣布没有通过第一信封的投标人名单，并退还其第二信封；</w:t>
            </w:r>
          </w:p>
          <w:p>
            <w:pPr>
              <w:spacing w:line="276" w:lineRule="auto"/>
              <w:jc w:val="both"/>
              <w:rPr>
                <w:rFonts w:asciiTheme="minorEastAsia" w:hAnsiTheme="minorEastAsia"/>
                <w:highlight w:val="none"/>
              </w:rPr>
            </w:pPr>
            <w:r>
              <w:rPr>
                <w:rFonts w:hint="eastAsia" w:asciiTheme="minorEastAsia" w:hAnsiTheme="minorEastAsia"/>
                <w:highlight w:val="none"/>
              </w:rPr>
              <w:t>(4)由监标人或随机抽取投标人代表检查投标文件第二信封的密封情况；</w:t>
            </w:r>
          </w:p>
          <w:p>
            <w:pPr>
              <w:spacing w:line="276" w:lineRule="auto"/>
              <w:jc w:val="both"/>
              <w:rPr>
                <w:rFonts w:asciiTheme="minorEastAsia" w:hAnsiTheme="minorEastAsia"/>
                <w:highlight w:val="none"/>
              </w:rPr>
            </w:pPr>
            <w:r>
              <w:rPr>
                <w:rFonts w:hint="eastAsia" w:asciiTheme="minorEastAsia" w:hAnsiTheme="minorEastAsia"/>
                <w:highlight w:val="none"/>
              </w:rPr>
              <w:t>(5)按照随机拆封顺序对投标人第二信封进行开标；</w:t>
            </w:r>
          </w:p>
          <w:p>
            <w:pPr>
              <w:spacing w:line="276" w:lineRule="auto"/>
              <w:jc w:val="both"/>
              <w:rPr>
                <w:rFonts w:asciiTheme="minorEastAsia" w:hAnsiTheme="minorEastAsia"/>
                <w:highlight w:val="none"/>
              </w:rPr>
            </w:pPr>
            <w:r>
              <w:rPr>
                <w:rFonts w:hint="eastAsia" w:asciiTheme="minorEastAsia" w:hAnsiTheme="minorEastAsia"/>
                <w:highlight w:val="none"/>
              </w:rPr>
              <w:t>(6)公布第二信封（报价文件）的投标人名称、最高投标限价、投标报价，并记录在案。</w:t>
            </w:r>
          </w:p>
          <w:p>
            <w:pPr>
              <w:spacing w:line="276" w:lineRule="auto"/>
              <w:jc w:val="both"/>
              <w:rPr>
                <w:rFonts w:asciiTheme="minorEastAsia" w:hAnsiTheme="minorEastAsia"/>
                <w:highlight w:val="none"/>
              </w:rPr>
            </w:pPr>
            <w:r>
              <w:rPr>
                <w:rFonts w:hint="eastAsia" w:asciiTheme="minorEastAsia" w:hAnsiTheme="minorEastAsia"/>
                <w:highlight w:val="none"/>
              </w:rPr>
              <w:t>(7)投标人代表、招标人代表、监标人、记录人等有关人员在开标记录上签字确认；</w:t>
            </w:r>
          </w:p>
          <w:p>
            <w:pPr>
              <w:spacing w:line="276" w:lineRule="auto"/>
              <w:jc w:val="both"/>
              <w:rPr>
                <w:rFonts w:asciiTheme="minorEastAsia" w:hAnsiTheme="minorEastAsia"/>
                <w:highlight w:val="none"/>
              </w:rPr>
            </w:pPr>
            <w:r>
              <w:rPr>
                <w:rFonts w:hint="eastAsia" w:asciiTheme="minorEastAsia" w:hAnsiTheme="minorEastAsia"/>
                <w:highlight w:val="none"/>
              </w:rPr>
              <w:t>(8)开标会议结束。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6" w:hRule="atLeast"/>
          <w:jc w:val="center"/>
        </w:trPr>
        <w:tc>
          <w:tcPr>
            <w:tcW w:w="1061" w:type="dxa"/>
            <w:vAlign w:val="center"/>
          </w:tcPr>
          <w:p>
            <w:pPr>
              <w:spacing w:line="276" w:lineRule="auto"/>
              <w:jc w:val="center"/>
              <w:rPr>
                <w:rFonts w:asciiTheme="minorEastAsia" w:hAnsiTheme="minorEastAsia"/>
                <w:highlight w:val="none"/>
              </w:rPr>
            </w:pPr>
            <w:r>
              <w:rPr>
                <w:rFonts w:asciiTheme="minorEastAsia" w:hAnsiTheme="minorEastAsia"/>
                <w:highlight w:val="none"/>
              </w:rPr>
              <w:t>6.1.1</w:t>
            </w:r>
          </w:p>
        </w:tc>
        <w:tc>
          <w:tcPr>
            <w:tcW w:w="1680" w:type="dxa"/>
            <w:vAlign w:val="center"/>
          </w:tcPr>
          <w:p>
            <w:pPr>
              <w:autoSpaceDE w:val="0"/>
              <w:autoSpaceDN w:val="0"/>
              <w:adjustRightInd w:val="0"/>
              <w:spacing w:line="276" w:lineRule="auto"/>
              <w:jc w:val="center"/>
              <w:rPr>
                <w:rFonts w:asciiTheme="minorEastAsia" w:hAnsiTheme="minorEastAsia"/>
                <w:highlight w:val="none"/>
              </w:rPr>
            </w:pPr>
            <w:r>
              <w:rPr>
                <w:rFonts w:hint="eastAsia" w:cs="宋体" w:asciiTheme="minorEastAsia" w:hAnsiTheme="minorEastAsia"/>
                <w:kern w:val="0"/>
                <w:sz w:val="22"/>
                <w:highlight w:val="none"/>
              </w:rPr>
              <w:t>评标委员会人数</w:t>
            </w:r>
          </w:p>
        </w:tc>
        <w:tc>
          <w:tcPr>
            <w:tcW w:w="6819" w:type="dxa"/>
            <w:vAlign w:val="center"/>
          </w:tcPr>
          <w:p>
            <w:pPr>
              <w:autoSpaceDE w:val="0"/>
              <w:autoSpaceDN w:val="0"/>
              <w:adjustRightInd w:val="0"/>
              <w:spacing w:line="360" w:lineRule="auto"/>
              <w:jc w:val="left"/>
              <w:rPr>
                <w:rFonts w:hint="eastAsia" w:ascii="Times New Roman" w:hAnsi="Times New Roman"/>
                <w:szCs w:val="21"/>
                <w:highlight w:val="none"/>
              </w:rPr>
            </w:pPr>
            <w:r>
              <w:rPr>
                <w:rFonts w:hint="eastAsia" w:ascii="Times New Roman" w:hAnsi="Times New Roman"/>
                <w:szCs w:val="21"/>
                <w:highlight w:val="none"/>
                <w:lang w:val="en-US" w:eastAsia="zh-CN"/>
              </w:rPr>
              <w:t>1、</w:t>
            </w:r>
            <w:r>
              <w:rPr>
                <w:rFonts w:hint="eastAsia" w:ascii="Times New Roman" w:hAnsi="Times New Roman"/>
                <w:szCs w:val="21"/>
                <w:highlight w:val="none"/>
              </w:rPr>
              <w:t>评标委员会构成：5人。</w:t>
            </w:r>
          </w:p>
          <w:p>
            <w:pPr>
              <w:autoSpaceDE w:val="0"/>
              <w:autoSpaceDN w:val="0"/>
              <w:adjustRightInd w:val="0"/>
              <w:spacing w:line="360" w:lineRule="auto"/>
              <w:jc w:val="left"/>
              <w:rPr>
                <w:rFonts w:hint="eastAsia" w:ascii="Times New Roman" w:hAnsi="Times New Roman"/>
                <w:szCs w:val="21"/>
                <w:highlight w:val="none"/>
              </w:rPr>
            </w:pPr>
            <w:r>
              <w:rPr>
                <w:rFonts w:hint="eastAsia" w:ascii="Times New Roman" w:hAnsi="Times New Roman"/>
                <w:szCs w:val="21"/>
                <w:highlight w:val="none"/>
                <w:lang w:val="en-US" w:eastAsia="zh-CN"/>
              </w:rPr>
              <w:t>2、</w:t>
            </w:r>
            <w:r>
              <w:rPr>
                <w:rFonts w:hint="eastAsia" w:ascii="Times New Roman" w:hAnsi="Times New Roman"/>
                <w:szCs w:val="21"/>
                <w:highlight w:val="none"/>
              </w:rPr>
              <w:t>评标专家确定方式：从贵州交通建设集团综合评标专家库中随机抽取。</w:t>
            </w:r>
          </w:p>
          <w:p>
            <w:pPr>
              <w:autoSpaceDE w:val="0"/>
              <w:autoSpaceDN w:val="0"/>
              <w:adjustRightInd w:val="0"/>
              <w:spacing w:line="360" w:lineRule="auto"/>
              <w:jc w:val="left"/>
              <w:rPr>
                <w:rFonts w:asciiTheme="minorEastAsia" w:hAnsiTheme="minorEastAsia"/>
                <w:highlight w:val="none"/>
              </w:rPr>
            </w:pPr>
            <w:r>
              <w:rPr>
                <w:rFonts w:hint="eastAsia" w:ascii="Times New Roman" w:hAnsi="Times New Roman"/>
                <w:szCs w:val="21"/>
                <w:highlight w:val="none"/>
                <w:lang w:val="en-US" w:eastAsia="zh-CN"/>
              </w:rPr>
              <w:t>3、如评标专家在集团专家库中抽取不足或如遇已抽取专家因故不能准时参加评标的，根据贵州交投商贸物流有限公司《采购管理实施办法》相关采购程序执行。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61" w:type="dxa"/>
            <w:vAlign w:val="center"/>
          </w:tcPr>
          <w:p>
            <w:pPr>
              <w:spacing w:line="276" w:lineRule="auto"/>
              <w:jc w:val="center"/>
              <w:rPr>
                <w:rFonts w:asciiTheme="minorEastAsia" w:hAnsiTheme="minorEastAsia"/>
                <w:highlight w:val="none"/>
              </w:rPr>
            </w:pPr>
            <w:r>
              <w:rPr>
                <w:rFonts w:asciiTheme="minorEastAsia" w:hAnsiTheme="minorEastAsia"/>
                <w:highlight w:val="none"/>
              </w:rPr>
              <w:t>6.3.2</w:t>
            </w:r>
          </w:p>
        </w:tc>
        <w:tc>
          <w:tcPr>
            <w:tcW w:w="1680" w:type="dxa"/>
            <w:vAlign w:val="center"/>
          </w:tcPr>
          <w:p>
            <w:pPr>
              <w:pStyle w:val="20"/>
              <w:adjustRightInd/>
              <w:spacing w:line="380" w:lineRule="exact"/>
              <w:textAlignment w:val="auto"/>
              <w:rPr>
                <w:rFonts w:asciiTheme="minorEastAsia" w:hAnsiTheme="minorEastAsia"/>
                <w:highlight w:val="none"/>
              </w:rPr>
            </w:pPr>
            <w:bookmarkStart w:id="27" w:name="_Toc6974"/>
            <w:r>
              <w:rPr>
                <w:rFonts w:hint="eastAsia" w:ascii="宋体" w:hAnsi="宋体" w:cs="宋体"/>
                <w:b w:val="0"/>
                <w:kern w:val="2"/>
                <w:sz w:val="21"/>
                <w:szCs w:val="21"/>
                <w:highlight w:val="none"/>
              </w:rPr>
              <w:t>中标原则</w:t>
            </w:r>
            <w:bookmarkEnd w:id="27"/>
          </w:p>
        </w:tc>
        <w:tc>
          <w:tcPr>
            <w:tcW w:w="6819" w:type="dxa"/>
            <w:vAlign w:val="center"/>
          </w:tcPr>
          <w:p>
            <w:pPr>
              <w:numPr>
                <w:ilvl w:val="0"/>
                <w:numId w:val="3"/>
              </w:numPr>
              <w:spacing w:line="380" w:lineRule="exact"/>
              <w:jc w:val="both"/>
              <w:rPr>
                <w:rFonts w:hint="eastAsia" w:ascii="宋体" w:hAnsi="宋体" w:cs="宋体"/>
                <w:b/>
                <w:bCs/>
                <w:szCs w:val="21"/>
                <w:highlight w:val="none"/>
                <w:lang w:eastAsia="zh-CN"/>
              </w:rPr>
            </w:pPr>
            <w:r>
              <w:rPr>
                <w:rFonts w:hint="eastAsia" w:ascii="宋体" w:hAnsi="宋体" w:cs="宋体"/>
                <w:b/>
                <w:bCs/>
                <w:szCs w:val="21"/>
                <w:highlight w:val="none"/>
              </w:rPr>
              <w:t>评标委员会按照经评审的投标价由低到高的顺序推荐中标候选人</w:t>
            </w:r>
            <w:r>
              <w:rPr>
                <w:rFonts w:hint="eastAsia" w:ascii="宋体" w:hAnsi="宋体" w:cs="宋体"/>
                <w:b/>
                <w:bCs/>
                <w:szCs w:val="21"/>
                <w:highlight w:val="none"/>
                <w:lang w:eastAsia="zh-CN"/>
              </w:rPr>
              <w:t>。</w:t>
            </w:r>
          </w:p>
          <w:p>
            <w:pPr>
              <w:numPr>
                <w:ilvl w:val="0"/>
                <w:numId w:val="0"/>
              </w:numPr>
              <w:spacing w:line="380" w:lineRule="exact"/>
              <w:jc w:val="both"/>
              <w:rPr>
                <w:rFonts w:ascii="宋体" w:hAnsi="宋体" w:cs="宋体"/>
                <w:szCs w:val="21"/>
                <w:highlight w:val="none"/>
              </w:rPr>
            </w:pPr>
            <w:r>
              <w:rPr>
                <w:rFonts w:hint="eastAsia" w:ascii="宋体" w:hAnsi="宋体" w:cs="宋体"/>
                <w:szCs w:val="21"/>
                <w:highlight w:val="none"/>
              </w:rPr>
              <w:t>2.公示期结束后，未收到投标人或者其他利害关系人对评标结果的异议，招标人确定中标公示中排名第一的中标候选人为该</w:t>
            </w:r>
            <w:r>
              <w:rPr>
                <w:rFonts w:hint="eastAsia" w:ascii="宋体" w:hAnsi="宋体" w:cs="宋体"/>
                <w:szCs w:val="21"/>
                <w:highlight w:val="none"/>
                <w:lang w:val="en-US" w:eastAsia="zh-CN"/>
              </w:rPr>
              <w:t>包件</w:t>
            </w:r>
            <w:r>
              <w:rPr>
                <w:rFonts w:hint="eastAsia" w:ascii="宋体" w:hAnsi="宋体" w:cs="宋体"/>
                <w:szCs w:val="21"/>
                <w:highlight w:val="none"/>
              </w:rPr>
              <w:t>中标人，并向其发出中标通知书。</w:t>
            </w:r>
          </w:p>
          <w:p>
            <w:pPr>
              <w:spacing w:line="380" w:lineRule="exact"/>
              <w:jc w:val="both"/>
              <w:rPr>
                <w:rFonts w:asciiTheme="minorEastAsia" w:hAnsiTheme="minorEastAsia"/>
                <w:highlight w:val="none"/>
                <w:lang w:val="en-US"/>
              </w:rPr>
            </w:pPr>
            <w:r>
              <w:rPr>
                <w:rFonts w:hint="eastAsia" w:ascii="宋体" w:hAnsi="宋体" w:cs="宋体"/>
                <w:szCs w:val="21"/>
                <w:highlight w:val="none"/>
              </w:rPr>
              <w:t>3.公示期经招标人核实，某一合同段中标人有违反招标投标法行为导致中标无效的，招标人可以以该</w:t>
            </w:r>
            <w:r>
              <w:rPr>
                <w:rFonts w:hint="eastAsia" w:ascii="宋体" w:hAnsi="宋体" w:cs="宋体"/>
                <w:szCs w:val="21"/>
                <w:highlight w:val="none"/>
                <w:lang w:val="en-US" w:eastAsia="zh-CN"/>
              </w:rPr>
              <w:t>包件</w:t>
            </w:r>
            <w:r>
              <w:rPr>
                <w:rFonts w:hint="eastAsia" w:ascii="宋体" w:hAnsi="宋体" w:cs="宋体"/>
                <w:szCs w:val="21"/>
                <w:highlight w:val="none"/>
              </w:rPr>
              <w:t>后续排名中标候选人顺序替补为该</w:t>
            </w:r>
            <w:r>
              <w:rPr>
                <w:rFonts w:hint="eastAsia" w:ascii="宋体" w:hAnsi="宋体" w:cs="宋体"/>
                <w:szCs w:val="21"/>
                <w:highlight w:val="none"/>
                <w:lang w:val="en-US" w:eastAsia="zh-CN"/>
              </w:rPr>
              <w:t>包件</w:t>
            </w:r>
            <w:r>
              <w:rPr>
                <w:rFonts w:hint="eastAsia" w:ascii="宋体" w:hAnsi="宋体" w:cs="宋体"/>
                <w:szCs w:val="21"/>
                <w:highlight w:val="none"/>
              </w:rPr>
              <w:t>中标人，也可以对该</w:t>
            </w:r>
            <w:r>
              <w:rPr>
                <w:rFonts w:hint="eastAsia" w:ascii="宋体" w:hAnsi="宋体" w:cs="宋体"/>
                <w:szCs w:val="21"/>
                <w:highlight w:val="none"/>
                <w:lang w:val="en-US" w:eastAsia="zh-CN"/>
              </w:rPr>
              <w:t>包件</w:t>
            </w:r>
            <w:r>
              <w:rPr>
                <w:rFonts w:hint="eastAsia" w:ascii="宋体" w:hAnsi="宋体" w:cs="宋体"/>
                <w:szCs w:val="21"/>
                <w:highlight w:val="none"/>
              </w:rPr>
              <w:t>重新招标。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61" w:type="dxa"/>
            <w:vAlign w:val="center"/>
          </w:tcPr>
          <w:p>
            <w:pPr>
              <w:spacing w:line="276" w:lineRule="auto"/>
              <w:jc w:val="center"/>
              <w:rPr>
                <w:rFonts w:asciiTheme="minorEastAsia" w:hAnsiTheme="minorEastAsia"/>
                <w:highlight w:val="none"/>
              </w:rPr>
            </w:pPr>
            <w:r>
              <w:rPr>
                <w:rFonts w:asciiTheme="minorEastAsia" w:hAnsiTheme="minorEastAsia"/>
                <w:highlight w:val="none"/>
              </w:rPr>
              <w:t>7.1</w:t>
            </w:r>
          </w:p>
        </w:tc>
        <w:tc>
          <w:tcPr>
            <w:tcW w:w="1680" w:type="dxa"/>
            <w:vAlign w:val="center"/>
          </w:tcPr>
          <w:p>
            <w:pPr>
              <w:adjustRightInd w:val="0"/>
              <w:spacing w:line="360" w:lineRule="auto"/>
              <w:jc w:val="center"/>
              <w:rPr>
                <w:rFonts w:asciiTheme="minorEastAsia" w:hAnsiTheme="minorEastAsia"/>
                <w:highlight w:val="none"/>
              </w:rPr>
            </w:pPr>
            <w:r>
              <w:rPr>
                <w:rFonts w:hint="eastAsia" w:asciiTheme="minorEastAsia" w:hAnsiTheme="minorEastAsia"/>
                <w:highlight w:val="none"/>
              </w:rPr>
              <w:t>中标候选人公示媒介及期限</w:t>
            </w:r>
          </w:p>
        </w:tc>
        <w:tc>
          <w:tcPr>
            <w:tcW w:w="6819" w:type="dxa"/>
            <w:vAlign w:val="center"/>
          </w:tcPr>
          <w:p>
            <w:pPr>
              <w:spacing w:line="360" w:lineRule="auto"/>
              <w:jc w:val="both"/>
              <w:rPr>
                <w:b/>
                <w:bCs/>
                <w:szCs w:val="21"/>
                <w:highlight w:val="none"/>
                <w:lang w:val="en-US"/>
              </w:rPr>
            </w:pPr>
            <w:r>
              <w:rPr>
                <w:rFonts w:hint="eastAsia" w:asciiTheme="minorEastAsia" w:hAnsiTheme="minorEastAsia"/>
                <w:highlight w:val="none"/>
              </w:rPr>
              <w:t>公示媒介：招标人将在评标结束后，对中标候选人在</w:t>
            </w:r>
            <w:r>
              <w:rPr>
                <w:rFonts w:hint="eastAsia"/>
                <w:b/>
                <w:bCs/>
                <w:szCs w:val="21"/>
                <w:highlight w:val="none"/>
                <w:lang w:val="en-US"/>
              </w:rPr>
              <w:t>贵州交通建设集团有限公司（www.gzjjjt.com.cn）上进行公示；</w:t>
            </w:r>
          </w:p>
          <w:p>
            <w:pPr>
              <w:adjustRightInd w:val="0"/>
              <w:spacing w:line="360" w:lineRule="auto"/>
              <w:jc w:val="both"/>
              <w:rPr>
                <w:rFonts w:asciiTheme="minorEastAsia" w:hAnsiTheme="minorEastAsia"/>
                <w:highlight w:val="none"/>
              </w:rPr>
            </w:pPr>
            <w:r>
              <w:rPr>
                <w:rFonts w:hint="eastAsia" w:asciiTheme="minorEastAsia" w:hAnsiTheme="minorEastAsia"/>
                <w:highlight w:val="none"/>
              </w:rPr>
              <w:t>公示期限：3个工作日。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61" w:type="dxa"/>
            <w:vAlign w:val="center"/>
          </w:tcPr>
          <w:p>
            <w:pPr>
              <w:spacing w:line="276" w:lineRule="auto"/>
              <w:jc w:val="center"/>
              <w:rPr>
                <w:rFonts w:asciiTheme="minorEastAsia" w:hAnsiTheme="minorEastAsia"/>
                <w:highlight w:val="none"/>
              </w:rPr>
            </w:pPr>
            <w:r>
              <w:rPr>
                <w:rFonts w:asciiTheme="minorEastAsia" w:hAnsiTheme="minorEastAsia"/>
                <w:highlight w:val="none"/>
              </w:rPr>
              <w:t>7.6.1</w:t>
            </w:r>
          </w:p>
        </w:tc>
        <w:tc>
          <w:tcPr>
            <w:tcW w:w="1680" w:type="dxa"/>
            <w:vAlign w:val="center"/>
          </w:tcPr>
          <w:p>
            <w:pPr>
              <w:adjustRightInd w:val="0"/>
              <w:spacing w:line="360" w:lineRule="auto"/>
              <w:jc w:val="center"/>
              <w:rPr>
                <w:rFonts w:asciiTheme="minorEastAsia" w:hAnsiTheme="minorEastAsia"/>
                <w:highlight w:val="none"/>
              </w:rPr>
            </w:pPr>
            <w:r>
              <w:rPr>
                <w:rFonts w:hint="eastAsia" w:asciiTheme="minorEastAsia" w:hAnsiTheme="minorEastAsia"/>
                <w:highlight w:val="none"/>
              </w:rPr>
              <w:t>履约保证金</w:t>
            </w:r>
          </w:p>
        </w:tc>
        <w:tc>
          <w:tcPr>
            <w:tcW w:w="6819" w:type="dxa"/>
            <w:vAlign w:val="center"/>
          </w:tcPr>
          <w:p>
            <w:pPr>
              <w:adjustRightInd w:val="0"/>
              <w:spacing w:line="360" w:lineRule="auto"/>
              <w:jc w:val="both"/>
              <w:rPr>
                <w:rFonts w:hint="eastAsia" w:ascii="宋体" w:hAnsi="宋体" w:eastAsia="宋体" w:cs="宋体"/>
                <w:color w:val="000000"/>
                <w:kern w:val="0"/>
                <w:sz w:val="21"/>
                <w:szCs w:val="21"/>
                <w:highlight w:val="none"/>
                <w:lang w:val="en-US" w:eastAsia="zh-CN" w:bidi="ar"/>
              </w:rPr>
            </w:pPr>
            <w:r>
              <w:rPr>
                <w:rFonts w:hint="eastAsia" w:asciiTheme="minorEastAsia" w:hAnsiTheme="minorEastAsia"/>
                <w:highlight w:val="none"/>
              </w:rPr>
              <w:t>履约保证金的形式：</w:t>
            </w:r>
            <w:r>
              <w:rPr>
                <w:rFonts w:hint="eastAsia" w:ascii="宋体" w:hAnsi="宋体" w:eastAsia="宋体" w:cs="宋体"/>
                <w:b/>
                <w:color w:val="000000"/>
                <w:kern w:val="0"/>
                <w:sz w:val="21"/>
                <w:szCs w:val="21"/>
                <w:highlight w:val="none"/>
                <w:u w:val="none"/>
                <w:lang w:val="en-US" w:eastAsia="zh-CN" w:bidi="ar"/>
              </w:rPr>
              <w:t>银行转账</w:t>
            </w:r>
            <w:r>
              <w:rPr>
                <w:rFonts w:hint="eastAsia" w:cs="宋体"/>
                <w:b/>
                <w:color w:val="000000"/>
                <w:kern w:val="0"/>
                <w:sz w:val="21"/>
                <w:szCs w:val="21"/>
                <w:highlight w:val="none"/>
                <w:u w:val="none"/>
                <w:lang w:val="en-US" w:eastAsia="zh-CN" w:bidi="ar"/>
              </w:rPr>
              <w:t>。</w:t>
            </w:r>
          </w:p>
          <w:p>
            <w:pPr>
              <w:adjustRightInd w:val="0"/>
              <w:spacing w:line="360" w:lineRule="auto"/>
              <w:jc w:val="both"/>
              <w:rPr>
                <w:rFonts w:ascii="宋体" w:hAnsi="宋体" w:cs="宋体"/>
                <w:b/>
                <w:bCs/>
                <w:szCs w:val="21"/>
              </w:rPr>
            </w:pPr>
            <w:r>
              <w:rPr>
                <w:rFonts w:hint="eastAsia" w:asciiTheme="minorEastAsia" w:hAnsiTheme="minorEastAsia"/>
                <w:highlight w:val="none"/>
              </w:rPr>
              <w:t>履约保证金的金额：</w:t>
            </w:r>
            <w:r>
              <w:rPr>
                <w:rFonts w:hint="eastAsia" w:asciiTheme="minorEastAsia" w:hAnsiTheme="minorEastAsia"/>
                <w:b/>
                <w:bCs/>
                <w:highlight w:val="none"/>
                <w:lang w:val="en-US" w:eastAsia="zh-CN"/>
              </w:rPr>
              <w:t>20</w:t>
            </w:r>
            <w:r>
              <w:rPr>
                <w:rFonts w:hint="eastAsia" w:asciiTheme="minorEastAsia" w:hAnsiTheme="minorEastAsia"/>
                <w:b/>
                <w:bCs/>
                <w:highlight w:val="none"/>
              </w:rPr>
              <w:t>万元。</w:t>
            </w:r>
            <w:r>
              <w:rPr>
                <w:rFonts w:hint="eastAsia" w:ascii="宋体" w:hAnsi="宋体" w:cs="宋体"/>
                <w:b/>
                <w:bCs/>
                <w:szCs w:val="21"/>
              </w:rPr>
              <w:t xml:space="preserve"> </w:t>
            </w:r>
          </w:p>
          <w:p>
            <w:pPr>
              <w:spacing w:line="360" w:lineRule="auto"/>
              <w:jc w:val="left"/>
              <w:rPr>
                <w:rFonts w:ascii="宋体" w:hAnsi="宋体" w:cs="宋体"/>
                <w:b/>
                <w:bCs/>
                <w:szCs w:val="21"/>
                <w:highlight w:val="none"/>
              </w:rPr>
            </w:pPr>
            <w:r>
              <w:rPr>
                <w:rFonts w:hint="eastAsia" w:ascii="宋体" w:hAnsi="宋体" w:cs="宋体"/>
                <w:b/>
                <w:bCs/>
                <w:szCs w:val="21"/>
                <w:highlight w:val="none"/>
              </w:rPr>
              <w:t xml:space="preserve">1、投标人应在签订合同之前，将履约保证金一次性转入招标人指定账户。 </w:t>
            </w:r>
          </w:p>
          <w:p>
            <w:pPr>
              <w:autoSpaceDE w:val="0"/>
              <w:autoSpaceDN w:val="0"/>
              <w:adjustRightInd w:val="0"/>
              <w:spacing w:line="360" w:lineRule="auto"/>
              <w:jc w:val="left"/>
              <w:rPr>
                <w:rFonts w:hint="eastAsia" w:cs="宋体"/>
                <w:b/>
                <w:bCs/>
                <w:szCs w:val="21"/>
                <w:highlight w:val="none"/>
                <w:lang w:eastAsia="zh-CN"/>
              </w:rPr>
            </w:pPr>
            <w:r>
              <w:rPr>
                <w:rFonts w:hint="eastAsia" w:ascii="宋体" w:hAnsi="宋体" w:cs="宋体"/>
                <w:b/>
                <w:bCs/>
                <w:szCs w:val="21"/>
                <w:highlight w:val="none"/>
              </w:rPr>
              <w:t>2、履约</w:t>
            </w:r>
            <w:r>
              <w:rPr>
                <w:rFonts w:hint="eastAsia" w:ascii="宋体" w:hAnsi="宋体" w:cs="宋体"/>
                <w:b/>
                <w:bCs/>
                <w:szCs w:val="21"/>
                <w:highlight w:val="none"/>
                <w:lang w:val="en-US" w:eastAsia="zh-CN"/>
              </w:rPr>
              <w:t>保证金</w:t>
            </w:r>
            <w:r>
              <w:rPr>
                <w:rFonts w:hint="eastAsia" w:ascii="宋体" w:hAnsi="宋体" w:cs="宋体"/>
                <w:b/>
                <w:bCs/>
                <w:szCs w:val="21"/>
                <w:highlight w:val="none"/>
              </w:rPr>
              <w:t>时限：自发包人与供应商签订的合同生效之日起，</w:t>
            </w:r>
            <w:r>
              <w:rPr>
                <w:rFonts w:hint="eastAsia" w:ascii="宋体" w:hAnsi="宋体" w:cs="宋体"/>
                <w:b/>
                <w:bCs/>
                <w:szCs w:val="21"/>
                <w:highlight w:val="none"/>
                <w:lang w:eastAsia="zh-CN"/>
              </w:rPr>
              <w:t>有效期至合同执行结束且双方办理合同决算手续后</w:t>
            </w:r>
            <w:r>
              <w:rPr>
                <w:rFonts w:hint="eastAsia" w:ascii="宋体" w:hAnsi="宋体" w:cs="宋体"/>
                <w:b/>
                <w:bCs/>
                <w:szCs w:val="21"/>
                <w:highlight w:val="none"/>
              </w:rPr>
              <w:t>28日不计利息退还</w:t>
            </w:r>
            <w:r>
              <w:rPr>
                <w:rFonts w:hint="eastAsia" w:cs="宋体"/>
                <w:b/>
                <w:bCs/>
                <w:szCs w:val="21"/>
                <w:highlight w:val="none"/>
                <w:lang w:eastAsia="zh-CN"/>
              </w:rPr>
              <w:t>。</w:t>
            </w:r>
          </w:p>
          <w:p>
            <w:pPr>
              <w:autoSpaceDE w:val="0"/>
              <w:autoSpaceDN w:val="0"/>
              <w:adjustRightInd w:val="0"/>
              <w:spacing w:line="360" w:lineRule="auto"/>
              <w:jc w:val="left"/>
              <w:rPr>
                <w:b/>
                <w:bCs/>
                <w:highlight w:val="none"/>
              </w:rPr>
            </w:pPr>
            <w:r>
              <w:rPr>
                <w:rFonts w:hint="eastAsia"/>
                <w:b/>
                <w:bCs/>
                <w:highlight w:val="none"/>
              </w:rPr>
              <w:t>开户名称：贵州交投商贸物流有限公司</w:t>
            </w:r>
          </w:p>
          <w:p>
            <w:pPr>
              <w:autoSpaceDE w:val="0"/>
              <w:autoSpaceDN w:val="0"/>
              <w:adjustRightInd w:val="0"/>
              <w:spacing w:line="360" w:lineRule="auto"/>
              <w:jc w:val="left"/>
              <w:rPr>
                <w:b/>
                <w:bCs/>
                <w:highlight w:val="none"/>
              </w:rPr>
            </w:pPr>
            <w:r>
              <w:rPr>
                <w:rFonts w:hint="eastAsia"/>
                <w:b/>
                <w:bCs/>
                <w:highlight w:val="none"/>
              </w:rPr>
              <w:t>开户银行：民生银行贵阳分行营业部</w:t>
            </w:r>
          </w:p>
          <w:p>
            <w:pPr>
              <w:adjustRightInd w:val="0"/>
              <w:spacing w:line="360" w:lineRule="auto"/>
              <w:jc w:val="both"/>
              <w:rPr>
                <w:rFonts w:asciiTheme="minorEastAsia" w:hAnsiTheme="minorEastAsia"/>
                <w:highlight w:val="none"/>
                <w:lang w:val="en-US"/>
              </w:rPr>
            </w:pPr>
            <w:r>
              <w:rPr>
                <w:rFonts w:hint="eastAsia"/>
                <w:b/>
                <w:bCs/>
                <w:highlight w:val="none"/>
              </w:rPr>
              <w:t>开户帐号：6042 6826 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61" w:type="dxa"/>
            <w:vAlign w:val="center"/>
          </w:tcPr>
          <w:p>
            <w:pPr>
              <w:spacing w:line="276" w:lineRule="auto"/>
              <w:jc w:val="center"/>
              <w:rPr>
                <w:rFonts w:asciiTheme="minorEastAsia" w:hAnsiTheme="minorEastAsia"/>
                <w:highlight w:val="none"/>
              </w:rPr>
            </w:pPr>
            <w:r>
              <w:rPr>
                <w:rFonts w:asciiTheme="minorEastAsia" w:hAnsiTheme="minorEastAsia"/>
                <w:highlight w:val="none"/>
              </w:rPr>
              <w:t>8.5.1</w:t>
            </w:r>
          </w:p>
        </w:tc>
        <w:tc>
          <w:tcPr>
            <w:tcW w:w="1680" w:type="dxa"/>
            <w:vAlign w:val="center"/>
          </w:tcPr>
          <w:p>
            <w:pPr>
              <w:autoSpaceDE w:val="0"/>
              <w:autoSpaceDN w:val="0"/>
              <w:adjustRightInd w:val="0"/>
              <w:spacing w:line="276" w:lineRule="auto"/>
              <w:jc w:val="center"/>
              <w:rPr>
                <w:rFonts w:asciiTheme="minorEastAsia" w:hAnsiTheme="minorEastAsia"/>
                <w:highlight w:val="none"/>
              </w:rPr>
            </w:pPr>
            <w:r>
              <w:rPr>
                <w:rFonts w:hint="eastAsia" w:cs="宋体" w:asciiTheme="minorEastAsia" w:hAnsiTheme="minorEastAsia"/>
                <w:kern w:val="0"/>
                <w:sz w:val="22"/>
                <w:highlight w:val="none"/>
              </w:rPr>
              <w:t>监督部门</w:t>
            </w:r>
          </w:p>
        </w:tc>
        <w:tc>
          <w:tcPr>
            <w:tcW w:w="6819" w:type="dxa"/>
            <w:vAlign w:val="center"/>
          </w:tcPr>
          <w:p>
            <w:pPr>
              <w:autoSpaceDE w:val="0"/>
              <w:autoSpaceDN w:val="0"/>
              <w:adjustRightInd w:val="0"/>
              <w:spacing w:line="276" w:lineRule="auto"/>
              <w:jc w:val="left"/>
              <w:rPr>
                <w:rFonts w:cs="宋体" w:asciiTheme="minorEastAsia" w:hAnsiTheme="minorEastAsia"/>
                <w:kern w:val="0"/>
                <w:sz w:val="22"/>
                <w:highlight w:val="none"/>
              </w:rPr>
            </w:pPr>
            <w:r>
              <w:rPr>
                <w:rFonts w:hint="eastAsia" w:cs="宋体" w:asciiTheme="minorEastAsia" w:hAnsiTheme="minorEastAsia"/>
                <w:kern w:val="0"/>
                <w:sz w:val="22"/>
                <w:highlight w:val="none"/>
              </w:rPr>
              <w:t>监督部门：</w:t>
            </w:r>
          </w:p>
          <w:p>
            <w:pPr>
              <w:autoSpaceDE w:val="0"/>
              <w:autoSpaceDN w:val="0"/>
              <w:adjustRightInd w:val="0"/>
              <w:spacing w:line="276" w:lineRule="auto"/>
              <w:jc w:val="left"/>
              <w:rPr>
                <w:rFonts w:cs="宋体" w:asciiTheme="minorEastAsia" w:hAnsiTheme="minorEastAsia"/>
                <w:kern w:val="0"/>
                <w:sz w:val="22"/>
                <w:highlight w:val="none"/>
              </w:rPr>
            </w:pPr>
            <w:r>
              <w:rPr>
                <w:rFonts w:hint="eastAsia" w:cs="宋体" w:asciiTheme="minorEastAsia" w:hAnsiTheme="minorEastAsia"/>
                <w:kern w:val="0"/>
                <w:sz w:val="22"/>
                <w:highlight w:val="none"/>
              </w:rPr>
              <w:t>贵州交建投资有限公司纪检监察室</w:t>
            </w:r>
          </w:p>
          <w:p>
            <w:pPr>
              <w:autoSpaceDE w:val="0"/>
              <w:autoSpaceDN w:val="0"/>
              <w:adjustRightInd w:val="0"/>
              <w:spacing w:line="276" w:lineRule="auto"/>
              <w:jc w:val="left"/>
              <w:rPr>
                <w:rFonts w:cs="宋体" w:asciiTheme="minorEastAsia" w:hAnsiTheme="minorEastAsia"/>
                <w:kern w:val="0"/>
                <w:sz w:val="22"/>
                <w:highlight w:val="none"/>
              </w:rPr>
            </w:pPr>
            <w:r>
              <w:rPr>
                <w:rFonts w:hint="eastAsia" w:cs="宋体" w:asciiTheme="minorEastAsia" w:hAnsiTheme="minorEastAsia"/>
                <w:kern w:val="0"/>
                <w:sz w:val="22"/>
                <w:highlight w:val="none"/>
              </w:rPr>
              <w:t>电话：</w:t>
            </w:r>
            <w:r>
              <w:rPr>
                <w:rFonts w:hint="eastAsia" w:asciiTheme="minorEastAsia" w:hAnsiTheme="minorEastAsia" w:eastAsiaTheme="minorEastAsia" w:cstheme="minorEastAsia"/>
                <w:sz w:val="22"/>
                <w:highlight w:val="none"/>
              </w:rPr>
              <w:t>0851-85868113</w:t>
            </w:r>
          </w:p>
          <w:p>
            <w:pPr>
              <w:autoSpaceDE w:val="0"/>
              <w:autoSpaceDN w:val="0"/>
              <w:adjustRightInd w:val="0"/>
              <w:spacing w:line="276" w:lineRule="auto"/>
              <w:jc w:val="left"/>
              <w:rPr>
                <w:rFonts w:cs="宋体" w:asciiTheme="minorEastAsia" w:hAnsiTheme="minorEastAsia"/>
                <w:kern w:val="0"/>
                <w:sz w:val="22"/>
                <w:highlight w:val="none"/>
              </w:rPr>
            </w:pPr>
            <w:r>
              <w:rPr>
                <w:rFonts w:hint="eastAsia" w:cs="宋体" w:asciiTheme="minorEastAsia" w:hAnsiTheme="minorEastAsia"/>
                <w:kern w:val="0"/>
                <w:sz w:val="22"/>
                <w:highlight w:val="none"/>
              </w:rPr>
              <w:t>地址：贵州省贵阳市中山西路68号1010室</w:t>
            </w:r>
          </w:p>
          <w:p>
            <w:pPr>
              <w:autoSpaceDE w:val="0"/>
              <w:autoSpaceDN w:val="0"/>
              <w:adjustRightInd w:val="0"/>
              <w:spacing w:line="276" w:lineRule="auto"/>
              <w:jc w:val="left"/>
              <w:rPr>
                <w:rFonts w:hint="eastAsia" w:cs="宋体" w:asciiTheme="minorEastAsia" w:hAnsiTheme="minorEastAsia"/>
                <w:kern w:val="0"/>
                <w:sz w:val="22"/>
                <w:highlight w:val="none"/>
              </w:rPr>
            </w:pPr>
            <w:r>
              <w:rPr>
                <w:rFonts w:hint="eastAsia" w:cs="宋体" w:asciiTheme="minorEastAsia" w:hAnsiTheme="minorEastAsia"/>
                <w:kern w:val="0"/>
                <w:sz w:val="22"/>
                <w:highlight w:val="none"/>
              </w:rPr>
              <w:t>邮编：550001</w:t>
            </w:r>
          </w:p>
          <w:p>
            <w:pPr>
              <w:autoSpaceDE w:val="0"/>
              <w:autoSpaceDN w:val="0"/>
              <w:adjustRightInd w:val="0"/>
              <w:spacing w:line="276" w:lineRule="auto"/>
              <w:jc w:val="left"/>
              <w:rPr>
                <w:rFonts w:asciiTheme="minorEastAsia" w:hAnsiTheme="minorEastAsia"/>
                <w:highlight w:val="none"/>
              </w:rPr>
            </w:pPr>
            <w:r>
              <w:rPr>
                <w:rFonts w:hint="eastAsia" w:ascii="宋体" w:hAnsi="宋体" w:cs="宋体"/>
                <w:b/>
                <w:bCs/>
                <w:szCs w:val="21"/>
                <w:highlight w:val="none"/>
              </w:rPr>
              <w:t>注：投标人对招标文件、评标结果、开标过程及中标候选人公示内容事项投诉的，应当先向招标人提出异议，招标人联系方式详见招标公告。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61" w:type="dxa"/>
            <w:vAlign w:val="center"/>
          </w:tcPr>
          <w:p>
            <w:pPr>
              <w:spacing w:line="276" w:lineRule="auto"/>
              <w:jc w:val="center"/>
              <w:rPr>
                <w:rFonts w:asciiTheme="minorEastAsia" w:hAnsiTheme="minorEastAsia"/>
                <w:highlight w:val="none"/>
              </w:rPr>
            </w:pPr>
            <w:r>
              <w:rPr>
                <w:rFonts w:asciiTheme="minorEastAsia" w:hAnsiTheme="minorEastAsia"/>
                <w:highlight w:val="none"/>
              </w:rPr>
              <w:t xml:space="preserve">9  </w:t>
            </w:r>
          </w:p>
        </w:tc>
        <w:tc>
          <w:tcPr>
            <w:tcW w:w="1680" w:type="dxa"/>
            <w:vAlign w:val="center"/>
          </w:tcPr>
          <w:p>
            <w:pPr>
              <w:adjustRightInd w:val="0"/>
              <w:spacing w:line="276" w:lineRule="auto"/>
              <w:jc w:val="center"/>
              <w:rPr>
                <w:rFonts w:asciiTheme="minorEastAsia" w:hAnsiTheme="minorEastAsia"/>
                <w:highlight w:val="none"/>
              </w:rPr>
            </w:pPr>
            <w:r>
              <w:rPr>
                <w:rFonts w:hint="eastAsia" w:asciiTheme="minorEastAsia" w:hAnsiTheme="minorEastAsia"/>
                <w:highlight w:val="none"/>
              </w:rPr>
              <w:t>是否采用电子招标投标</w:t>
            </w:r>
          </w:p>
        </w:tc>
        <w:tc>
          <w:tcPr>
            <w:tcW w:w="6819" w:type="dxa"/>
            <w:vAlign w:val="center"/>
          </w:tcPr>
          <w:p>
            <w:pPr>
              <w:adjustRightInd w:val="0"/>
              <w:spacing w:line="276" w:lineRule="auto"/>
              <w:jc w:val="both"/>
              <w:rPr>
                <w:rFonts w:asciiTheme="minorEastAsia" w:hAnsiTheme="minorEastAsia"/>
                <w:highlight w:val="none"/>
              </w:rPr>
            </w:pPr>
            <w:r>
              <w:rPr>
                <w:rFonts w:hint="eastAsia" w:asciiTheme="minorEastAsia" w:hAnsiTheme="minorEastAsia"/>
                <w:highlight w:val="none"/>
              </w:rPr>
              <w:t>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61" w:type="dxa"/>
            <w:vAlign w:val="center"/>
          </w:tcPr>
          <w:p>
            <w:pPr>
              <w:spacing w:line="276" w:lineRule="auto"/>
              <w:jc w:val="center"/>
              <w:rPr>
                <w:rFonts w:asciiTheme="minorEastAsia" w:hAnsiTheme="minorEastAsia"/>
                <w:highlight w:val="none"/>
              </w:rPr>
            </w:pPr>
            <w:r>
              <w:rPr>
                <w:rFonts w:asciiTheme="minorEastAsia" w:hAnsiTheme="minorEastAsia"/>
                <w:highlight w:val="none"/>
              </w:rPr>
              <w:t>10</w:t>
            </w:r>
          </w:p>
        </w:tc>
        <w:tc>
          <w:tcPr>
            <w:tcW w:w="1680" w:type="dxa"/>
            <w:vAlign w:val="center"/>
          </w:tcPr>
          <w:p>
            <w:pPr>
              <w:spacing w:line="276" w:lineRule="auto"/>
              <w:jc w:val="center"/>
              <w:rPr>
                <w:rFonts w:asciiTheme="minorEastAsia" w:hAnsiTheme="minorEastAsia"/>
                <w:highlight w:val="none"/>
              </w:rPr>
            </w:pPr>
            <w:r>
              <w:rPr>
                <w:rFonts w:hint="eastAsia" w:asciiTheme="minorEastAsia" w:hAnsiTheme="minorEastAsia"/>
                <w:highlight w:val="none"/>
              </w:rPr>
              <w:t>需要补充的其他内容</w:t>
            </w:r>
          </w:p>
        </w:tc>
        <w:tc>
          <w:tcPr>
            <w:tcW w:w="6819" w:type="dxa"/>
            <w:vAlign w:val="center"/>
          </w:tcPr>
          <w:p>
            <w:pPr>
              <w:adjustRightInd w:val="0"/>
              <w:spacing w:line="276" w:lineRule="auto"/>
              <w:jc w:val="both"/>
              <w:rPr>
                <w:rFonts w:asciiTheme="minorEastAsia" w:hAnsiTheme="minorEastAsia"/>
                <w:highlight w:val="none"/>
                <w:lang w:val="en-US"/>
              </w:rPr>
            </w:pPr>
            <w:r>
              <w:rPr>
                <w:rFonts w:hint="eastAsia" w:asciiTheme="minorEastAsia" w:hAnsiTheme="minorEastAsia"/>
                <w:highlight w:val="none"/>
                <w:lang w:val="en-US"/>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8" w:hRule="atLeast"/>
          <w:jc w:val="center"/>
        </w:trPr>
        <w:tc>
          <w:tcPr>
            <w:tcW w:w="1061" w:type="dxa"/>
            <w:vAlign w:val="center"/>
          </w:tcPr>
          <w:p>
            <w:pPr>
              <w:spacing w:line="276" w:lineRule="auto"/>
              <w:jc w:val="center"/>
              <w:rPr>
                <w:rFonts w:asciiTheme="minorEastAsia" w:hAnsiTheme="minorEastAsia"/>
                <w:highlight w:val="none"/>
              </w:rPr>
            </w:pPr>
            <w:r>
              <w:rPr>
                <w:rFonts w:asciiTheme="minorEastAsia" w:hAnsiTheme="minorEastAsia"/>
                <w:highlight w:val="none"/>
              </w:rPr>
              <w:t>10.1</w:t>
            </w:r>
          </w:p>
        </w:tc>
        <w:tc>
          <w:tcPr>
            <w:tcW w:w="8499" w:type="dxa"/>
            <w:gridSpan w:val="2"/>
            <w:vAlign w:val="center"/>
          </w:tcPr>
          <w:p>
            <w:pPr>
              <w:adjustRightInd w:val="0"/>
              <w:spacing w:line="360" w:lineRule="auto"/>
              <w:jc w:val="both"/>
              <w:rPr>
                <w:rFonts w:asciiTheme="minorEastAsia" w:hAnsiTheme="minorEastAsia"/>
                <w:highlight w:val="none"/>
              </w:rPr>
            </w:pPr>
            <w:r>
              <w:rPr>
                <w:rFonts w:hint="eastAsia" w:asciiTheme="minorEastAsia" w:hAnsiTheme="minorEastAsia"/>
                <w:highlight w:val="none"/>
              </w:rPr>
              <w:t>澄清修改的其他说明：</w:t>
            </w:r>
          </w:p>
          <w:p>
            <w:pPr>
              <w:adjustRightInd w:val="0"/>
              <w:spacing w:line="360" w:lineRule="auto"/>
              <w:jc w:val="both"/>
              <w:rPr>
                <w:rFonts w:asciiTheme="minorEastAsia" w:hAnsiTheme="minorEastAsia"/>
                <w:highlight w:val="none"/>
              </w:rPr>
            </w:pPr>
            <w:r>
              <w:rPr>
                <w:rFonts w:hint="eastAsia" w:asciiTheme="minorEastAsia" w:hAnsiTheme="minorEastAsia"/>
                <w:highlight w:val="none"/>
              </w:rPr>
              <w:t>澄清修改文件解释顺序：对招标文件两次以上的澄清、修改如有不一致之处，以日期在后的澄清或补遗为准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8" w:hRule="atLeast"/>
          <w:jc w:val="center"/>
        </w:trPr>
        <w:tc>
          <w:tcPr>
            <w:tcW w:w="1061" w:type="dxa"/>
            <w:vAlign w:val="center"/>
          </w:tcPr>
          <w:p>
            <w:pPr>
              <w:spacing w:line="276" w:lineRule="auto"/>
              <w:jc w:val="center"/>
              <w:rPr>
                <w:rFonts w:asciiTheme="minorEastAsia" w:hAnsiTheme="minorEastAsia"/>
                <w:highlight w:val="none"/>
              </w:rPr>
            </w:pPr>
            <w:r>
              <w:rPr>
                <w:rFonts w:asciiTheme="minorEastAsia" w:hAnsiTheme="minorEastAsia"/>
                <w:highlight w:val="none"/>
              </w:rPr>
              <w:t>10.2</w:t>
            </w:r>
          </w:p>
        </w:tc>
        <w:tc>
          <w:tcPr>
            <w:tcW w:w="8499" w:type="dxa"/>
            <w:gridSpan w:val="2"/>
            <w:vAlign w:val="center"/>
          </w:tcPr>
          <w:p>
            <w:pPr>
              <w:adjustRightInd w:val="0"/>
              <w:spacing w:line="360" w:lineRule="auto"/>
              <w:jc w:val="both"/>
              <w:rPr>
                <w:rFonts w:asciiTheme="minorEastAsia" w:hAnsiTheme="minorEastAsia"/>
                <w:highlight w:val="none"/>
              </w:rPr>
            </w:pPr>
            <w:r>
              <w:rPr>
                <w:rFonts w:hint="eastAsia" w:asciiTheme="minorEastAsia" w:hAnsiTheme="minorEastAsia"/>
                <w:highlight w:val="none"/>
              </w:rPr>
              <w:t>单价计取：出厂单价、运杂费单价取小数点后两位，第三位四舍五入；投标总价取整。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61" w:type="dxa"/>
            <w:vAlign w:val="center"/>
          </w:tcPr>
          <w:p>
            <w:pPr>
              <w:spacing w:line="276" w:lineRule="auto"/>
              <w:jc w:val="center"/>
              <w:rPr>
                <w:rFonts w:asciiTheme="minorEastAsia" w:hAnsiTheme="minorEastAsia"/>
                <w:highlight w:val="none"/>
              </w:rPr>
            </w:pPr>
            <w:r>
              <w:rPr>
                <w:rFonts w:asciiTheme="minorEastAsia" w:hAnsiTheme="minorEastAsia"/>
                <w:highlight w:val="none"/>
              </w:rPr>
              <w:t>10.3</w:t>
            </w:r>
          </w:p>
        </w:tc>
        <w:tc>
          <w:tcPr>
            <w:tcW w:w="8499" w:type="dxa"/>
            <w:gridSpan w:val="2"/>
            <w:vAlign w:val="center"/>
          </w:tcPr>
          <w:p>
            <w:pPr>
              <w:adjustRightInd w:val="0"/>
              <w:spacing w:line="360" w:lineRule="auto"/>
              <w:jc w:val="both"/>
              <w:rPr>
                <w:rFonts w:asciiTheme="minorEastAsia" w:hAnsiTheme="minorEastAsia"/>
                <w:highlight w:val="none"/>
              </w:rPr>
            </w:pPr>
            <w:r>
              <w:rPr>
                <w:rFonts w:hint="eastAsia" w:asciiTheme="minorEastAsia" w:hAnsiTheme="minorEastAsia"/>
                <w:highlight w:val="none"/>
              </w:rPr>
              <w:t>业绩的其他说明：</w:t>
            </w:r>
          </w:p>
          <w:p>
            <w:pPr>
              <w:adjustRightInd w:val="0"/>
              <w:spacing w:line="360" w:lineRule="auto"/>
              <w:jc w:val="both"/>
              <w:rPr>
                <w:rFonts w:asciiTheme="minorEastAsia" w:hAnsiTheme="minorEastAsia"/>
                <w:highlight w:val="none"/>
              </w:rPr>
            </w:pPr>
            <w:r>
              <w:rPr>
                <w:rFonts w:hint="eastAsia" w:asciiTheme="minorEastAsia" w:hAnsiTheme="minorEastAsia"/>
                <w:highlight w:val="none"/>
              </w:rPr>
              <w:t>如近年来投标人的法人机构发生合法变更或重组或法人名称变更时，应提供相关部门的合法批件或其它相关证明材料来证明其所附业绩的继承性以及营业期限。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61" w:type="dxa"/>
            <w:vAlign w:val="center"/>
          </w:tcPr>
          <w:p>
            <w:pPr>
              <w:spacing w:line="440" w:lineRule="exact"/>
              <w:jc w:val="center"/>
              <w:rPr>
                <w:rFonts w:asciiTheme="minorEastAsia" w:hAnsiTheme="minorEastAsia"/>
                <w:highlight w:val="none"/>
              </w:rPr>
            </w:pPr>
            <w:r>
              <w:rPr>
                <w:rFonts w:ascii="Times New Roman" w:hAnsi="Times New Roman"/>
                <w:szCs w:val="21"/>
                <w:highlight w:val="none"/>
              </w:rPr>
              <w:t>10.</w:t>
            </w:r>
            <w:r>
              <w:rPr>
                <w:rFonts w:hint="eastAsia" w:ascii="Times New Roman" w:hAnsi="Times New Roman"/>
                <w:szCs w:val="21"/>
                <w:highlight w:val="none"/>
              </w:rPr>
              <w:t>5</w:t>
            </w:r>
          </w:p>
        </w:tc>
        <w:tc>
          <w:tcPr>
            <w:tcW w:w="8499" w:type="dxa"/>
            <w:gridSpan w:val="2"/>
            <w:vAlign w:val="center"/>
          </w:tcPr>
          <w:p>
            <w:pPr>
              <w:spacing w:line="440" w:lineRule="atLeast"/>
              <w:jc w:val="both"/>
              <w:rPr>
                <w:rFonts w:ascii="宋体" w:hAnsi="宋体" w:cs="宋体"/>
                <w:szCs w:val="21"/>
                <w:highlight w:val="none"/>
              </w:rPr>
            </w:pPr>
            <w:r>
              <w:rPr>
                <w:rFonts w:hint="eastAsia" w:ascii="宋体" w:hAnsi="宋体" w:cs="宋体"/>
                <w:szCs w:val="21"/>
                <w:highlight w:val="none"/>
              </w:rPr>
              <w:t>在评标过程中，如有效投标不足</w:t>
            </w:r>
            <w:r>
              <w:rPr>
                <w:rFonts w:ascii="宋体" w:hAnsi="宋体" w:cs="宋体"/>
                <w:szCs w:val="21"/>
                <w:highlight w:val="none"/>
              </w:rPr>
              <w:t>3个，评标委员会应当对有效投标是否仍具有竞争性进行评审</w:t>
            </w:r>
            <w:r>
              <w:rPr>
                <w:rFonts w:hint="eastAsia" w:ascii="宋体" w:hAnsi="宋体" w:cs="宋体"/>
                <w:szCs w:val="21"/>
                <w:highlight w:val="none"/>
              </w:rPr>
              <w:t>。评标委员会一致认为有效投标仍具有竞争性的，应当继续推荐中标候选人，并在评标报告中予以说明。评标委员会对有效投标是否仍具有竞争性无法达成一致意见的，应当否决全部投标。</w:t>
            </w:r>
          </w:p>
          <w:p>
            <w:pPr>
              <w:spacing w:line="440" w:lineRule="atLeast"/>
              <w:jc w:val="both"/>
              <w:rPr>
                <w:rFonts w:ascii="宋体" w:hAnsi="宋体" w:cs="宋体"/>
                <w:szCs w:val="21"/>
                <w:highlight w:val="none"/>
              </w:rPr>
            </w:pPr>
            <w:r>
              <w:rPr>
                <w:rFonts w:hint="eastAsia" w:ascii="宋体" w:hAnsi="宋体" w:cs="宋体"/>
                <w:szCs w:val="21"/>
                <w:highlight w:val="none"/>
              </w:rPr>
              <w:t>重新招标：</w:t>
            </w:r>
          </w:p>
          <w:p>
            <w:pPr>
              <w:spacing w:line="440" w:lineRule="atLeast"/>
              <w:jc w:val="both"/>
              <w:rPr>
                <w:rFonts w:asciiTheme="minorEastAsia" w:hAnsiTheme="minorEastAsia"/>
                <w:highlight w:val="none"/>
              </w:rPr>
            </w:pPr>
            <w:r>
              <w:rPr>
                <w:rFonts w:hint="eastAsia" w:ascii="宋体" w:hAnsi="宋体" w:cs="宋体"/>
                <w:szCs w:val="21"/>
                <w:highlight w:val="none"/>
              </w:rPr>
              <w:t>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47" w:hRule="atLeast"/>
          <w:jc w:val="center"/>
        </w:trPr>
        <w:tc>
          <w:tcPr>
            <w:tcW w:w="1061" w:type="dxa"/>
            <w:vAlign w:val="center"/>
          </w:tcPr>
          <w:p>
            <w:pPr>
              <w:spacing w:line="276" w:lineRule="auto"/>
              <w:ind w:left="100"/>
              <w:jc w:val="center"/>
              <w:rPr>
                <w:rFonts w:asciiTheme="minorEastAsia" w:hAnsiTheme="minorEastAsia"/>
                <w:highlight w:val="none"/>
              </w:rPr>
            </w:pPr>
            <w:r>
              <w:rPr>
                <w:rFonts w:asciiTheme="minorEastAsia" w:hAnsiTheme="minorEastAsia"/>
                <w:highlight w:val="none"/>
              </w:rPr>
              <w:t>10.6</w:t>
            </w:r>
          </w:p>
        </w:tc>
        <w:tc>
          <w:tcPr>
            <w:tcW w:w="8499" w:type="dxa"/>
            <w:gridSpan w:val="2"/>
            <w:vAlign w:val="center"/>
          </w:tcPr>
          <w:p>
            <w:pPr>
              <w:adjustRightInd w:val="0"/>
              <w:spacing w:line="360" w:lineRule="auto"/>
              <w:jc w:val="both"/>
              <w:rPr>
                <w:rFonts w:asciiTheme="minorEastAsia" w:hAnsiTheme="minorEastAsia"/>
                <w:highlight w:val="none"/>
              </w:rPr>
            </w:pPr>
            <w:r>
              <w:rPr>
                <w:rFonts w:hint="eastAsia" w:asciiTheme="minorEastAsia" w:hAnsiTheme="minorEastAsia"/>
                <w:highlight w:val="none"/>
              </w:rPr>
              <w:t>不再招标：</w:t>
            </w:r>
          </w:p>
          <w:p>
            <w:pPr>
              <w:adjustRightInd w:val="0"/>
              <w:spacing w:line="360" w:lineRule="auto"/>
              <w:jc w:val="both"/>
              <w:rPr>
                <w:rFonts w:asciiTheme="minorEastAsia" w:hAnsiTheme="minorEastAsia"/>
                <w:highlight w:val="none"/>
              </w:rPr>
            </w:pPr>
            <w:r>
              <w:rPr>
                <w:rFonts w:hint="eastAsia" w:asciiTheme="minorEastAsia" w:hAnsiTheme="minorEastAsia"/>
                <w:highlight w:val="none"/>
              </w:rPr>
              <w:t>重新招标后投标人仍少于三人，按法定程序开标和评标，确定中标人。经评审无合格投标人，属于审批或核准项目的，报经原审批部门批准可以不再招标；其他项目，招标人可以自行决定不再招标。</w:t>
            </w:r>
          </w:p>
        </w:tc>
      </w:tr>
    </w:tbl>
    <w:p>
      <w:pPr>
        <w:tabs>
          <w:tab w:val="left" w:pos="1920"/>
        </w:tabs>
        <w:ind w:firstLine="221" w:firstLineChars="100"/>
        <w:rPr>
          <w:highlight w:val="none"/>
        </w:rPr>
        <w:sectPr>
          <w:footerReference r:id="rId4" w:type="default"/>
          <w:pgSz w:w="12240" w:h="15840"/>
          <w:pgMar w:top="1440" w:right="1157" w:bottom="1040" w:left="1400" w:header="0" w:footer="841" w:gutter="0"/>
          <w:cols w:space="720" w:num="1"/>
        </w:sectPr>
      </w:pPr>
      <w:r>
        <w:rPr>
          <w:rFonts w:hint="eastAsia" w:asciiTheme="minorEastAsia" w:hAnsiTheme="minorEastAsia"/>
          <w:b/>
          <w:highlight w:val="none"/>
        </w:rPr>
        <w:t>招标文件中投标人须知前附表与投标人须知正文不相符时，以投标人须知前附表为准。</w:t>
      </w:r>
    </w:p>
    <w:p>
      <w:pPr>
        <w:pStyle w:val="4"/>
        <w:jc w:val="center"/>
        <w:rPr>
          <w:sz w:val="24"/>
          <w:szCs w:val="24"/>
          <w:highlight w:val="none"/>
          <w:lang w:val="en-US"/>
        </w:rPr>
      </w:pPr>
      <w:bookmarkStart w:id="28" w:name="_bookmark20"/>
      <w:bookmarkEnd w:id="28"/>
      <w:bookmarkStart w:id="29" w:name="_Toc21165"/>
      <w:bookmarkStart w:id="30" w:name="_Toc6468"/>
      <w:r>
        <w:rPr>
          <w:rFonts w:hint="eastAsia"/>
          <w:sz w:val="24"/>
          <w:szCs w:val="24"/>
          <w:highlight w:val="none"/>
          <w:lang w:val="en-US"/>
        </w:rPr>
        <w:t>投标人须知前附表附件</w:t>
      </w:r>
      <w:bookmarkEnd w:id="29"/>
    </w:p>
    <w:p>
      <w:pPr>
        <w:rPr>
          <w:highlight w:val="none"/>
          <w:lang w:val="en-US"/>
        </w:rPr>
      </w:pPr>
    </w:p>
    <w:p>
      <w:pPr>
        <w:adjustRightInd w:val="0"/>
        <w:spacing w:line="360" w:lineRule="auto"/>
        <w:jc w:val="center"/>
        <w:rPr>
          <w:rFonts w:asciiTheme="minorEastAsia" w:hAnsiTheme="minorEastAsia"/>
          <w:highlight w:val="none"/>
          <w:lang w:val="en-US"/>
        </w:rPr>
      </w:pPr>
      <w:r>
        <w:rPr>
          <w:rFonts w:hint="eastAsia" w:asciiTheme="minorEastAsia" w:hAnsiTheme="minorEastAsia"/>
          <w:highlight w:val="none"/>
          <w:lang w:val="en-US"/>
        </w:rPr>
        <w:t>附件1:资格条件</w:t>
      </w:r>
    </w:p>
    <w:tbl>
      <w:tblPr>
        <w:tblStyle w:val="23"/>
        <w:tblW w:w="970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7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9705" w:type="dxa"/>
            <w:vAlign w:val="center"/>
          </w:tcPr>
          <w:p>
            <w:pPr>
              <w:adjustRightInd w:val="0"/>
              <w:spacing w:line="360" w:lineRule="auto"/>
              <w:jc w:val="center"/>
              <w:rPr>
                <w:rFonts w:asciiTheme="minorEastAsia" w:hAnsiTheme="minorEastAsia"/>
                <w:highlight w:val="none"/>
                <w:lang w:val="en-US"/>
              </w:rPr>
            </w:pPr>
            <w:r>
              <w:rPr>
                <w:rFonts w:hint="eastAsia" w:asciiTheme="minorEastAsia" w:hAnsiTheme="minorEastAsia"/>
                <w:highlight w:val="none"/>
                <w:lang w:val="en-US"/>
              </w:rPr>
              <w:t>资格条件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9" w:hRule="atLeast"/>
          <w:jc w:val="center"/>
        </w:trPr>
        <w:tc>
          <w:tcPr>
            <w:tcW w:w="9705" w:type="dxa"/>
            <w:vAlign w:val="center"/>
          </w:tcPr>
          <w:p>
            <w:pPr>
              <w:numPr>
                <w:ilvl w:val="0"/>
                <w:numId w:val="4"/>
              </w:numPr>
              <w:adjustRightInd w:val="0"/>
              <w:spacing w:line="360" w:lineRule="auto"/>
              <w:jc w:val="both"/>
              <w:rPr>
                <w:highlight w:val="none"/>
                <w:lang w:val="en-US"/>
              </w:rPr>
            </w:pPr>
            <w:r>
              <w:rPr>
                <w:rFonts w:hint="eastAsia"/>
                <w:highlight w:val="none"/>
              </w:rPr>
              <w:t>具有独立法人资格，具备有效的营业执照；【</w:t>
            </w:r>
            <w:r>
              <w:rPr>
                <w:rFonts w:hint="eastAsia"/>
                <w:highlight w:val="none"/>
                <w:lang w:val="en-US"/>
              </w:rPr>
              <w:t>提供有效的营业执照复印件，</w:t>
            </w:r>
            <w:r>
              <w:rPr>
                <w:highlight w:val="none"/>
              </w:rPr>
              <w:t>营业执照和组织机构代码证的复印件（按照“三证合一”或“五证合一”登记制度进行登记的，可仅提供营业执照复印件</w:t>
            </w:r>
            <w:r>
              <w:rPr>
                <w:rFonts w:hint="eastAsia"/>
                <w:highlight w:val="none"/>
              </w:rPr>
              <w:t>】</w:t>
            </w:r>
            <w:r>
              <w:rPr>
                <w:rFonts w:hint="eastAsia"/>
                <w:highlight w:val="none"/>
                <w:lang w:eastAsia="zh-CN"/>
              </w:rPr>
              <w:t>（</w:t>
            </w:r>
            <w:r>
              <w:rPr>
                <w:rFonts w:hint="eastAsia"/>
                <w:highlight w:val="none"/>
                <w:lang w:val="en-US" w:eastAsia="zh-CN"/>
              </w:rPr>
              <w:t>加盖投标单位鲜章</w:t>
            </w:r>
            <w:r>
              <w:rPr>
                <w:rFonts w:hint="eastAsia"/>
                <w:highlight w:val="none"/>
                <w:lang w:eastAsia="zh-CN"/>
              </w:rPr>
              <w:t>）</w:t>
            </w:r>
          </w:p>
          <w:p>
            <w:pPr>
              <w:widowControl/>
              <w:numPr>
                <w:ilvl w:val="0"/>
                <w:numId w:val="4"/>
              </w:numPr>
              <w:spacing w:line="360" w:lineRule="auto"/>
              <w:jc w:val="both"/>
              <w:rPr>
                <w:highlight w:val="none"/>
                <w:lang w:val="en-US"/>
              </w:rPr>
            </w:pPr>
            <w:r>
              <w:rPr>
                <w:rFonts w:hint="eastAsia"/>
                <w:highlight w:val="none"/>
                <w:lang w:val="en-US"/>
              </w:rPr>
              <w:t>具备道路运输行政主管部门核发的有效《道路运输经营许可证》。【提供有效的《道路运输经营许可证》复印件】</w:t>
            </w:r>
            <w:r>
              <w:rPr>
                <w:rFonts w:hint="eastAsia"/>
                <w:highlight w:val="none"/>
                <w:lang w:val="en-US" w:eastAsia="zh-CN"/>
              </w:rPr>
              <w:t>（并加盖投标单位鲜章）</w:t>
            </w:r>
          </w:p>
          <w:p>
            <w:pPr>
              <w:widowControl/>
              <w:numPr>
                <w:ilvl w:val="0"/>
                <w:numId w:val="4"/>
              </w:numPr>
              <w:spacing w:line="480" w:lineRule="auto"/>
              <w:jc w:val="both"/>
              <w:rPr>
                <w:rFonts w:ascii="宋体" w:hAnsi="宋体" w:eastAsia="宋体" w:cs="宋体"/>
                <w:sz w:val="22"/>
                <w:szCs w:val="22"/>
                <w:highlight w:val="none"/>
                <w:lang w:val="en-US" w:eastAsia="zh-CN" w:bidi="zh-CN"/>
              </w:rPr>
            </w:pPr>
            <w:r>
              <w:rPr>
                <w:rFonts w:hint="eastAsia"/>
                <w:highlight w:val="none"/>
                <w:lang w:val="en-US"/>
              </w:rPr>
              <w:t>拟投入本项目的运输车辆必须装有卫星定位系统；【提供相关证明文件并加盖投标单位鲜章】</w:t>
            </w:r>
          </w:p>
        </w:tc>
      </w:tr>
    </w:tbl>
    <w:p>
      <w:pPr>
        <w:adjustRightInd w:val="0"/>
        <w:spacing w:line="360" w:lineRule="auto"/>
        <w:rPr>
          <w:rFonts w:asciiTheme="minorEastAsia" w:hAnsiTheme="minorEastAsia"/>
          <w:highlight w:val="none"/>
          <w:lang w:val="en-US"/>
        </w:rPr>
      </w:pPr>
    </w:p>
    <w:p>
      <w:pPr>
        <w:adjustRightInd w:val="0"/>
        <w:spacing w:line="360" w:lineRule="auto"/>
        <w:jc w:val="center"/>
        <w:rPr>
          <w:rFonts w:hint="eastAsia" w:asciiTheme="minorEastAsia" w:hAnsiTheme="minorEastAsia"/>
          <w:highlight w:val="none"/>
          <w:lang w:val="en-US"/>
        </w:rPr>
      </w:pPr>
    </w:p>
    <w:p>
      <w:pPr>
        <w:adjustRightInd w:val="0"/>
        <w:spacing w:line="360" w:lineRule="auto"/>
        <w:jc w:val="center"/>
        <w:rPr>
          <w:rFonts w:asciiTheme="minorEastAsia" w:hAnsiTheme="minorEastAsia"/>
          <w:highlight w:val="none"/>
          <w:lang w:val="en-US"/>
        </w:rPr>
      </w:pPr>
      <w:r>
        <w:rPr>
          <w:rFonts w:hint="eastAsia" w:asciiTheme="minorEastAsia" w:hAnsiTheme="minorEastAsia"/>
          <w:highlight w:val="none"/>
          <w:lang w:val="en-US"/>
        </w:rPr>
        <w:t>附件2:财务要求</w:t>
      </w:r>
    </w:p>
    <w:tbl>
      <w:tblPr>
        <w:tblStyle w:val="23"/>
        <w:tblW w:w="985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54" w:type="dxa"/>
            <w:vAlign w:val="center"/>
          </w:tcPr>
          <w:p>
            <w:pPr>
              <w:adjustRightInd w:val="0"/>
              <w:spacing w:line="360" w:lineRule="auto"/>
              <w:jc w:val="center"/>
              <w:rPr>
                <w:rFonts w:asciiTheme="minorEastAsia" w:hAnsiTheme="minorEastAsia"/>
                <w:highlight w:val="none"/>
                <w:lang w:val="en-US"/>
              </w:rPr>
            </w:pPr>
            <w:r>
              <w:rPr>
                <w:rFonts w:hint="eastAsia" w:asciiTheme="minorEastAsia" w:hAnsiTheme="minorEastAsia"/>
                <w:highlight w:val="none"/>
                <w:lang w:val="en-US"/>
              </w:rPr>
              <w:t>财务要求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54" w:type="dxa"/>
            <w:vAlign w:val="center"/>
          </w:tcPr>
          <w:p>
            <w:pPr>
              <w:adjustRightInd w:val="0"/>
              <w:spacing w:line="360" w:lineRule="auto"/>
              <w:jc w:val="both"/>
              <w:rPr>
                <w:rFonts w:asciiTheme="minorEastAsia" w:hAnsiTheme="minorEastAsia"/>
                <w:highlight w:val="none"/>
                <w:lang w:val="en-US"/>
              </w:rPr>
            </w:pPr>
            <w:r>
              <w:rPr>
                <w:rFonts w:hint="eastAsia" w:asciiTheme="minorEastAsia" w:hAnsiTheme="minorEastAsia"/>
                <w:highlight w:val="none"/>
                <w:lang w:val="en-US"/>
              </w:rPr>
              <w:t>提供2020年度财务报表，2020年资金流动比率（流动资产/流动负债×100%）大于1。如为2021年新成立的公司，需提供自成立之日起的所有月份的财务报表。</w:t>
            </w:r>
          </w:p>
        </w:tc>
      </w:tr>
    </w:tbl>
    <w:p>
      <w:pPr>
        <w:adjustRightInd w:val="0"/>
        <w:spacing w:line="360" w:lineRule="auto"/>
        <w:jc w:val="center"/>
        <w:rPr>
          <w:rFonts w:asciiTheme="minorEastAsia" w:hAnsiTheme="minorEastAsia"/>
          <w:highlight w:val="none"/>
          <w:lang w:val="en-US"/>
        </w:rPr>
      </w:pPr>
    </w:p>
    <w:p>
      <w:pPr>
        <w:adjustRightInd w:val="0"/>
        <w:spacing w:line="360" w:lineRule="auto"/>
        <w:jc w:val="center"/>
        <w:rPr>
          <w:rFonts w:hint="eastAsia" w:asciiTheme="minorEastAsia" w:hAnsiTheme="minorEastAsia"/>
          <w:highlight w:val="none"/>
          <w:lang w:val="en-US"/>
        </w:rPr>
      </w:pPr>
    </w:p>
    <w:p>
      <w:pPr>
        <w:adjustRightInd w:val="0"/>
        <w:spacing w:line="360" w:lineRule="auto"/>
        <w:jc w:val="center"/>
        <w:rPr>
          <w:rFonts w:asciiTheme="minorEastAsia" w:hAnsiTheme="minorEastAsia"/>
          <w:highlight w:val="none"/>
          <w:lang w:val="en-US"/>
        </w:rPr>
      </w:pPr>
      <w:r>
        <w:rPr>
          <w:rFonts w:hint="eastAsia" w:asciiTheme="minorEastAsia" w:hAnsiTheme="minorEastAsia"/>
          <w:highlight w:val="none"/>
          <w:lang w:val="en-US"/>
        </w:rPr>
        <w:t>附件3:</w:t>
      </w:r>
      <w:r>
        <w:rPr>
          <w:rFonts w:hint="eastAsia" w:asciiTheme="minorEastAsia" w:hAnsiTheme="minorEastAsia"/>
          <w:highlight w:val="none"/>
          <w:lang w:val="en-US" w:eastAsia="zh-CN"/>
        </w:rPr>
        <w:t>组织与供货能力</w:t>
      </w:r>
      <w:r>
        <w:rPr>
          <w:rFonts w:hint="eastAsia" w:asciiTheme="minorEastAsia" w:hAnsiTheme="minorEastAsia"/>
          <w:highlight w:val="none"/>
          <w:lang w:val="en-US"/>
        </w:rPr>
        <w:t>要求</w:t>
      </w:r>
    </w:p>
    <w:tbl>
      <w:tblPr>
        <w:tblStyle w:val="23"/>
        <w:tblW w:w="985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54" w:type="dxa"/>
            <w:vAlign w:val="center"/>
          </w:tcPr>
          <w:p>
            <w:pPr>
              <w:adjustRightInd w:val="0"/>
              <w:spacing w:line="360" w:lineRule="auto"/>
              <w:jc w:val="center"/>
              <w:rPr>
                <w:rFonts w:asciiTheme="minorEastAsia" w:hAnsiTheme="minorEastAsia"/>
                <w:highlight w:val="none"/>
                <w:lang w:val="en-US"/>
              </w:rPr>
            </w:pPr>
            <w:r>
              <w:rPr>
                <w:rFonts w:hint="eastAsia" w:asciiTheme="minorEastAsia" w:hAnsiTheme="minorEastAsia"/>
                <w:highlight w:val="none"/>
                <w:lang w:val="en-US" w:eastAsia="zh-CN"/>
              </w:rPr>
              <w:t>组织与供货能力</w:t>
            </w:r>
            <w:r>
              <w:rPr>
                <w:rFonts w:hint="eastAsia" w:asciiTheme="minorEastAsia" w:hAnsiTheme="minorEastAsia"/>
                <w:highlight w:val="none"/>
                <w:lang w:val="en-US"/>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54" w:type="dxa"/>
            <w:vAlign w:val="center"/>
          </w:tcPr>
          <w:p>
            <w:pPr>
              <w:widowControl/>
              <w:spacing w:line="360" w:lineRule="auto"/>
              <w:jc w:val="both"/>
              <w:rPr>
                <w:rFonts w:asciiTheme="minorEastAsia" w:hAnsiTheme="minorEastAsia"/>
                <w:highlight w:val="none"/>
                <w:lang w:val="en-US"/>
              </w:rPr>
            </w:pPr>
            <w:r>
              <w:rPr>
                <w:rFonts w:hint="eastAsia" w:asciiTheme="minorEastAsia" w:hAnsiTheme="minorEastAsia"/>
                <w:highlight w:val="none"/>
                <w:lang w:val="en-US"/>
              </w:rPr>
              <w:t>投标人须具有提供所承担项目的组织与运输能力。须具有与其经营业务相适应并经检测合格的车辆，投入本项目运输的车辆须随车携带车辆行驶证【提供相关证明材料】。</w:t>
            </w:r>
          </w:p>
        </w:tc>
      </w:tr>
    </w:tbl>
    <w:p>
      <w:pPr>
        <w:adjustRightInd w:val="0"/>
        <w:spacing w:line="360" w:lineRule="auto"/>
        <w:jc w:val="center"/>
        <w:rPr>
          <w:rFonts w:asciiTheme="minorEastAsia" w:hAnsiTheme="minorEastAsia"/>
          <w:highlight w:val="none"/>
          <w:lang w:val="en-US"/>
        </w:rPr>
      </w:pPr>
    </w:p>
    <w:p>
      <w:pPr>
        <w:rPr>
          <w:rFonts w:hint="eastAsia" w:asciiTheme="minorEastAsia" w:hAnsiTheme="minorEastAsia"/>
          <w:highlight w:val="none"/>
          <w:lang w:val="en-US"/>
        </w:rPr>
      </w:pPr>
      <w:r>
        <w:rPr>
          <w:rFonts w:hint="eastAsia" w:asciiTheme="minorEastAsia" w:hAnsiTheme="minorEastAsia"/>
          <w:highlight w:val="none"/>
          <w:lang w:val="en-US"/>
        </w:rPr>
        <w:br w:type="page"/>
      </w:r>
    </w:p>
    <w:p>
      <w:pPr>
        <w:adjustRightInd w:val="0"/>
        <w:spacing w:line="360" w:lineRule="auto"/>
        <w:jc w:val="center"/>
        <w:rPr>
          <w:rFonts w:asciiTheme="minorEastAsia" w:hAnsiTheme="minorEastAsia"/>
          <w:highlight w:val="none"/>
          <w:lang w:val="en-US"/>
        </w:rPr>
      </w:pPr>
      <w:r>
        <w:rPr>
          <w:rFonts w:hint="eastAsia" w:asciiTheme="minorEastAsia" w:hAnsiTheme="minorEastAsia"/>
          <w:highlight w:val="none"/>
          <w:lang w:val="en-US"/>
        </w:rPr>
        <w:t>附件4:信誉要求</w:t>
      </w:r>
    </w:p>
    <w:tbl>
      <w:tblPr>
        <w:tblStyle w:val="23"/>
        <w:tblW w:w="985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9854" w:type="dxa"/>
            <w:vAlign w:val="center"/>
          </w:tcPr>
          <w:p>
            <w:pPr>
              <w:adjustRightInd w:val="0"/>
              <w:spacing w:line="360" w:lineRule="auto"/>
              <w:jc w:val="center"/>
              <w:rPr>
                <w:rFonts w:asciiTheme="minorEastAsia" w:hAnsiTheme="minorEastAsia"/>
                <w:highlight w:val="none"/>
                <w:lang w:val="en-US"/>
              </w:rPr>
            </w:pPr>
            <w:r>
              <w:rPr>
                <w:rFonts w:hint="eastAsia" w:asciiTheme="minorEastAsia" w:hAnsiTheme="minorEastAsia"/>
                <w:highlight w:val="none"/>
                <w:lang w:val="en-US"/>
              </w:rPr>
              <w:t>信誉要求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54" w:type="dxa"/>
            <w:vAlign w:val="center"/>
          </w:tcPr>
          <w:p>
            <w:pPr>
              <w:adjustRightInd w:val="0"/>
              <w:spacing w:line="360" w:lineRule="auto"/>
              <w:jc w:val="both"/>
              <w:rPr>
                <w:highlight w:val="none"/>
                <w:lang w:val="en-US"/>
              </w:rPr>
            </w:pPr>
            <w:r>
              <w:rPr>
                <w:rFonts w:hint="eastAsia"/>
                <w:highlight w:val="none"/>
                <w:lang w:val="en-US"/>
              </w:rPr>
              <w:t>1.在国家企业信用信息公示系统（http://www.gsxt.gov.cn/index.html）中未被列入严重违法失信企业名单；</w:t>
            </w:r>
          </w:p>
          <w:p>
            <w:pPr>
              <w:adjustRightInd w:val="0"/>
              <w:spacing w:line="360" w:lineRule="auto"/>
              <w:jc w:val="both"/>
              <w:rPr>
                <w:highlight w:val="none"/>
                <w:lang w:val="en-US"/>
              </w:rPr>
            </w:pPr>
            <w:r>
              <w:rPr>
                <w:rFonts w:hint="eastAsia"/>
                <w:highlight w:val="none"/>
                <w:lang w:val="en-US"/>
              </w:rPr>
              <w:t>2.在“信用中国”网站（http://www.creditchina.gov.cn/）中未被列入失信被执行人名单；</w:t>
            </w:r>
          </w:p>
        </w:tc>
      </w:tr>
    </w:tbl>
    <w:p>
      <w:pPr>
        <w:adjustRightInd w:val="0"/>
        <w:spacing w:line="360" w:lineRule="auto"/>
        <w:jc w:val="center"/>
        <w:rPr>
          <w:rFonts w:asciiTheme="minorEastAsia" w:hAnsiTheme="minorEastAsia"/>
          <w:highlight w:val="none"/>
          <w:lang w:val="en-US"/>
        </w:rPr>
      </w:pPr>
    </w:p>
    <w:p>
      <w:pPr>
        <w:pStyle w:val="2"/>
        <w:rPr>
          <w:rFonts w:asciiTheme="minorEastAsia" w:hAnsiTheme="minorEastAsia"/>
          <w:highlight w:val="none"/>
          <w:lang w:val="en-US"/>
        </w:rPr>
      </w:pPr>
    </w:p>
    <w:p>
      <w:pPr>
        <w:pStyle w:val="2"/>
        <w:rPr>
          <w:rFonts w:asciiTheme="minorEastAsia" w:hAnsiTheme="minorEastAsia"/>
          <w:highlight w:val="none"/>
          <w:lang w:val="en-US"/>
        </w:rPr>
      </w:pPr>
    </w:p>
    <w:p>
      <w:pPr>
        <w:adjustRightInd w:val="0"/>
        <w:spacing w:line="360" w:lineRule="auto"/>
        <w:jc w:val="center"/>
        <w:rPr>
          <w:rFonts w:asciiTheme="minorEastAsia" w:hAnsiTheme="minorEastAsia"/>
          <w:highlight w:val="none"/>
          <w:lang w:val="en-US"/>
        </w:rPr>
      </w:pPr>
      <w:r>
        <w:rPr>
          <w:rFonts w:hint="eastAsia" w:asciiTheme="minorEastAsia" w:hAnsiTheme="minorEastAsia"/>
          <w:highlight w:val="none"/>
          <w:lang w:val="en-US"/>
        </w:rPr>
        <w:t>附件</w:t>
      </w:r>
      <w:r>
        <w:rPr>
          <w:rFonts w:hint="eastAsia" w:asciiTheme="minorEastAsia" w:hAnsiTheme="minorEastAsia"/>
          <w:highlight w:val="none"/>
          <w:lang w:val="en-US" w:eastAsia="zh-CN"/>
        </w:rPr>
        <w:t>5</w:t>
      </w:r>
      <w:r>
        <w:rPr>
          <w:rFonts w:hint="eastAsia" w:asciiTheme="minorEastAsia" w:hAnsiTheme="minorEastAsia"/>
          <w:highlight w:val="none"/>
          <w:lang w:val="en-US"/>
        </w:rPr>
        <w:t>:</w:t>
      </w:r>
      <w:r>
        <w:rPr>
          <w:rFonts w:hint="eastAsia" w:asciiTheme="minorEastAsia" w:hAnsiTheme="minorEastAsia"/>
          <w:highlight w:val="none"/>
          <w:lang w:val="en-US" w:eastAsia="zh-CN"/>
        </w:rPr>
        <w:t>其他</w:t>
      </w:r>
      <w:r>
        <w:rPr>
          <w:rFonts w:hint="eastAsia" w:asciiTheme="minorEastAsia" w:hAnsiTheme="minorEastAsia"/>
          <w:highlight w:val="none"/>
          <w:lang w:val="en-US"/>
        </w:rPr>
        <w:t>要求</w:t>
      </w:r>
    </w:p>
    <w:tbl>
      <w:tblPr>
        <w:tblStyle w:val="23"/>
        <w:tblW w:w="985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54" w:type="dxa"/>
            <w:vAlign w:val="center"/>
          </w:tcPr>
          <w:p>
            <w:pPr>
              <w:adjustRightInd w:val="0"/>
              <w:spacing w:line="360" w:lineRule="auto"/>
              <w:jc w:val="center"/>
              <w:rPr>
                <w:rFonts w:asciiTheme="minorEastAsia" w:hAnsiTheme="minorEastAsia"/>
                <w:highlight w:val="none"/>
                <w:lang w:val="en-US"/>
              </w:rPr>
            </w:pPr>
            <w:r>
              <w:rPr>
                <w:rFonts w:hint="eastAsia" w:asciiTheme="minorEastAsia" w:hAnsiTheme="minorEastAsia"/>
                <w:highlight w:val="none"/>
                <w:lang w:val="en-US"/>
              </w:rPr>
              <w:t>其他要求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54" w:type="dxa"/>
            <w:vAlign w:val="center"/>
          </w:tcPr>
          <w:p>
            <w:pPr>
              <w:adjustRightInd w:val="0"/>
              <w:spacing w:line="360" w:lineRule="auto"/>
              <w:jc w:val="both"/>
              <w:rPr>
                <w:rFonts w:asciiTheme="minorEastAsia" w:hAnsiTheme="minorEastAsia"/>
                <w:highlight w:val="none"/>
                <w:lang w:val="en-US"/>
              </w:rPr>
            </w:pPr>
            <w:r>
              <w:rPr>
                <w:rFonts w:hint="eastAsia" w:asciiTheme="minorEastAsia" w:hAnsiTheme="minorEastAsia"/>
                <w:highlight w:val="none"/>
                <w:lang w:val="en-US"/>
              </w:rPr>
              <w:t>1.与招标人存在利害关系可能影响招标公正性的法人、其他组织或者个人，不得参加投标。</w:t>
            </w:r>
          </w:p>
          <w:p>
            <w:pPr>
              <w:adjustRightInd w:val="0"/>
              <w:spacing w:line="360" w:lineRule="auto"/>
              <w:jc w:val="both"/>
              <w:rPr>
                <w:rFonts w:asciiTheme="minorEastAsia" w:hAnsiTheme="minorEastAsia"/>
                <w:highlight w:val="none"/>
                <w:lang w:val="en-US"/>
              </w:rPr>
            </w:pPr>
            <w:r>
              <w:rPr>
                <w:rFonts w:hint="eastAsia" w:asciiTheme="minorEastAsia" w:hAnsiTheme="minorEastAsia"/>
                <w:highlight w:val="none"/>
                <w:lang w:val="en-US"/>
              </w:rPr>
              <w:t>2.投标单位负责人为同一人或者存在控股、管理关系的不同单位，不得同时参加投标，否则相关投标均无效。</w:t>
            </w:r>
          </w:p>
          <w:p>
            <w:pPr>
              <w:adjustRightInd w:val="0"/>
              <w:spacing w:line="360" w:lineRule="auto"/>
              <w:jc w:val="both"/>
              <w:rPr>
                <w:rFonts w:asciiTheme="minorEastAsia" w:hAnsiTheme="minorEastAsia"/>
                <w:highlight w:val="none"/>
                <w:lang w:val="en-US"/>
              </w:rPr>
            </w:pPr>
            <w:r>
              <w:rPr>
                <w:rFonts w:hint="eastAsia" w:asciiTheme="minorEastAsia" w:hAnsiTheme="minorEastAsia"/>
                <w:highlight w:val="none"/>
                <w:lang w:val="en-US"/>
              </w:rPr>
              <w:t>3.本项目不接受联合体投标，不允许分包和转包。</w:t>
            </w:r>
          </w:p>
        </w:tc>
      </w:tr>
    </w:tbl>
    <w:p>
      <w:pPr>
        <w:spacing w:line="360" w:lineRule="auto"/>
        <w:rPr>
          <w:highlight w:val="none"/>
          <w:lang w:val="en-US"/>
        </w:rPr>
      </w:pPr>
      <w:r>
        <w:rPr>
          <w:rFonts w:hint="eastAsia"/>
          <w:highlight w:val="none"/>
          <w:lang w:val="en-US"/>
        </w:rPr>
        <w:br w:type="page"/>
      </w:r>
    </w:p>
    <w:p>
      <w:pPr>
        <w:pStyle w:val="4"/>
        <w:tabs>
          <w:tab w:val="left" w:pos="802"/>
        </w:tabs>
        <w:spacing w:line="525" w:lineRule="exact"/>
        <w:ind w:left="0" w:firstLine="643" w:firstLineChars="200"/>
        <w:rPr>
          <w:highlight w:val="none"/>
        </w:rPr>
      </w:pPr>
      <w:bookmarkStart w:id="31" w:name="_Toc19544"/>
      <w:r>
        <w:rPr>
          <w:rFonts w:hint="eastAsia" w:eastAsia="宋体"/>
          <w:highlight w:val="none"/>
          <w:lang w:val="en-US"/>
        </w:rPr>
        <w:t>1.</w:t>
      </w:r>
      <w:r>
        <w:rPr>
          <w:highlight w:val="none"/>
        </w:rPr>
        <w:t>总则</w:t>
      </w:r>
      <w:bookmarkEnd w:id="30"/>
      <w:bookmarkEnd w:id="31"/>
    </w:p>
    <w:p>
      <w:pPr>
        <w:pStyle w:val="11"/>
        <w:spacing w:before="10"/>
        <w:rPr>
          <w:rFonts w:ascii="Microsoft JhengHei"/>
          <w:b/>
          <w:sz w:val="26"/>
          <w:highlight w:val="none"/>
        </w:rPr>
      </w:pPr>
    </w:p>
    <w:p>
      <w:pPr>
        <w:pStyle w:val="5"/>
        <w:numPr>
          <w:ilvl w:val="1"/>
          <w:numId w:val="5"/>
        </w:numPr>
        <w:tabs>
          <w:tab w:val="left" w:pos="1027"/>
        </w:tabs>
        <w:ind w:hanging="489"/>
        <w:rPr>
          <w:highlight w:val="none"/>
        </w:rPr>
      </w:pPr>
      <w:bookmarkStart w:id="32" w:name="_bookmark21"/>
      <w:bookmarkEnd w:id="32"/>
      <w:bookmarkStart w:id="33" w:name="_Toc24417"/>
      <w:r>
        <w:rPr>
          <w:spacing w:val="-1"/>
          <w:highlight w:val="none"/>
        </w:rPr>
        <w:t>招标项目概况</w:t>
      </w:r>
      <w:bookmarkEnd w:id="33"/>
    </w:p>
    <w:p>
      <w:pPr>
        <w:pStyle w:val="11"/>
        <w:spacing w:before="2"/>
        <w:rPr>
          <w:sz w:val="29"/>
          <w:highlight w:val="none"/>
        </w:rPr>
      </w:pPr>
    </w:p>
    <w:p>
      <w:pPr>
        <w:pStyle w:val="28"/>
        <w:numPr>
          <w:ilvl w:val="2"/>
          <w:numId w:val="5"/>
        </w:numPr>
        <w:tabs>
          <w:tab w:val="left" w:pos="1294"/>
        </w:tabs>
        <w:spacing w:line="355" w:lineRule="auto"/>
        <w:ind w:right="693" w:firstLine="420"/>
        <w:rPr>
          <w:sz w:val="21"/>
          <w:highlight w:val="none"/>
        </w:rPr>
      </w:pPr>
      <w:r>
        <w:rPr>
          <w:spacing w:val="-18"/>
          <w:sz w:val="21"/>
          <w:highlight w:val="none"/>
        </w:rPr>
        <w:t>根据《中华人民共和国招标投标法》、《中华人民共和国招标投标法实施条例》等有关</w:t>
      </w:r>
      <w:r>
        <w:rPr>
          <w:spacing w:val="-7"/>
          <w:sz w:val="21"/>
          <w:highlight w:val="none"/>
        </w:rPr>
        <w:t>法律、法规和规章的规定，本招标项目已具备招标条件，现对材料采购进行招标。</w:t>
      </w:r>
    </w:p>
    <w:p>
      <w:pPr>
        <w:pStyle w:val="28"/>
        <w:numPr>
          <w:ilvl w:val="2"/>
          <w:numId w:val="5"/>
        </w:numPr>
        <w:tabs>
          <w:tab w:val="left" w:pos="1346"/>
        </w:tabs>
        <w:spacing w:before="3"/>
        <w:ind w:left="1346" w:hanging="526"/>
        <w:rPr>
          <w:sz w:val="21"/>
          <w:highlight w:val="none"/>
        </w:rPr>
      </w:pPr>
      <w:r>
        <w:rPr>
          <w:spacing w:val="-3"/>
          <w:sz w:val="21"/>
          <w:highlight w:val="none"/>
        </w:rPr>
        <w:t>招标人：见投标人须知前附表。</w:t>
      </w:r>
    </w:p>
    <w:p>
      <w:pPr>
        <w:pStyle w:val="28"/>
        <w:numPr>
          <w:ilvl w:val="2"/>
          <w:numId w:val="5"/>
        </w:numPr>
        <w:tabs>
          <w:tab w:val="left" w:pos="1294"/>
        </w:tabs>
        <w:spacing w:before="130"/>
        <w:ind w:left="1293"/>
        <w:rPr>
          <w:sz w:val="21"/>
          <w:highlight w:val="none"/>
        </w:rPr>
      </w:pPr>
      <w:r>
        <w:rPr>
          <w:spacing w:val="-3"/>
          <w:sz w:val="21"/>
          <w:highlight w:val="none"/>
        </w:rPr>
        <w:t>招标项目名称：见投标人须知前附表。</w:t>
      </w:r>
    </w:p>
    <w:p>
      <w:pPr>
        <w:pStyle w:val="11"/>
        <w:spacing w:before="1"/>
        <w:rPr>
          <w:sz w:val="22"/>
          <w:highlight w:val="none"/>
        </w:rPr>
      </w:pPr>
    </w:p>
    <w:p>
      <w:pPr>
        <w:pStyle w:val="5"/>
        <w:numPr>
          <w:ilvl w:val="1"/>
          <w:numId w:val="5"/>
        </w:numPr>
        <w:tabs>
          <w:tab w:val="left" w:pos="1027"/>
        </w:tabs>
        <w:ind w:hanging="489"/>
        <w:rPr>
          <w:highlight w:val="none"/>
        </w:rPr>
      </w:pPr>
      <w:bookmarkStart w:id="34" w:name="_bookmark22"/>
      <w:bookmarkEnd w:id="34"/>
      <w:bookmarkStart w:id="35" w:name="_Toc18007"/>
      <w:r>
        <w:rPr>
          <w:spacing w:val="-3"/>
          <w:highlight w:val="none"/>
        </w:rPr>
        <w:t>招标项目的资金来源和落实情况</w:t>
      </w:r>
      <w:bookmarkEnd w:id="35"/>
    </w:p>
    <w:p>
      <w:pPr>
        <w:pStyle w:val="11"/>
        <w:spacing w:before="2"/>
        <w:rPr>
          <w:sz w:val="29"/>
          <w:highlight w:val="none"/>
        </w:rPr>
      </w:pPr>
    </w:p>
    <w:p>
      <w:pPr>
        <w:pStyle w:val="28"/>
        <w:numPr>
          <w:ilvl w:val="2"/>
          <w:numId w:val="5"/>
        </w:numPr>
        <w:tabs>
          <w:tab w:val="left" w:pos="1346"/>
        </w:tabs>
        <w:ind w:left="1346" w:hanging="526"/>
        <w:rPr>
          <w:sz w:val="21"/>
          <w:highlight w:val="none"/>
        </w:rPr>
      </w:pPr>
      <w:r>
        <w:rPr>
          <w:spacing w:val="-3"/>
          <w:sz w:val="21"/>
          <w:highlight w:val="none"/>
        </w:rPr>
        <w:t>资金来源及比例：见投标人须知前附表。</w:t>
      </w:r>
    </w:p>
    <w:p>
      <w:pPr>
        <w:pStyle w:val="28"/>
        <w:numPr>
          <w:ilvl w:val="2"/>
          <w:numId w:val="5"/>
        </w:numPr>
        <w:tabs>
          <w:tab w:val="left" w:pos="1346"/>
        </w:tabs>
        <w:spacing w:before="129"/>
        <w:ind w:left="1346" w:hanging="526"/>
        <w:rPr>
          <w:sz w:val="21"/>
          <w:highlight w:val="none"/>
        </w:rPr>
      </w:pPr>
      <w:r>
        <w:rPr>
          <w:spacing w:val="-3"/>
          <w:sz w:val="21"/>
          <w:highlight w:val="none"/>
        </w:rPr>
        <w:t>资金落实情况：见投标人须知前附表。</w:t>
      </w:r>
    </w:p>
    <w:p>
      <w:pPr>
        <w:pStyle w:val="11"/>
        <w:spacing w:before="1"/>
        <w:rPr>
          <w:sz w:val="22"/>
          <w:highlight w:val="none"/>
        </w:rPr>
      </w:pPr>
    </w:p>
    <w:p>
      <w:pPr>
        <w:pStyle w:val="5"/>
        <w:numPr>
          <w:ilvl w:val="1"/>
          <w:numId w:val="5"/>
        </w:numPr>
        <w:tabs>
          <w:tab w:val="left" w:pos="958"/>
        </w:tabs>
        <w:ind w:left="957" w:hanging="420"/>
        <w:rPr>
          <w:highlight w:val="none"/>
        </w:rPr>
      </w:pPr>
      <w:bookmarkStart w:id="36" w:name="_bookmark23"/>
      <w:bookmarkEnd w:id="36"/>
      <w:bookmarkStart w:id="37" w:name="_Toc4275"/>
      <w:r>
        <w:rPr>
          <w:spacing w:val="-3"/>
          <w:highlight w:val="none"/>
        </w:rPr>
        <w:t>招标范围、</w:t>
      </w:r>
      <w:r>
        <w:rPr>
          <w:rFonts w:hint="eastAsia"/>
          <w:spacing w:val="-3"/>
          <w:highlight w:val="none"/>
          <w:lang w:val="en-US"/>
        </w:rPr>
        <w:t>服务工</w:t>
      </w:r>
      <w:r>
        <w:rPr>
          <w:spacing w:val="-3"/>
          <w:highlight w:val="none"/>
        </w:rPr>
        <w:t>期、</w:t>
      </w:r>
      <w:r>
        <w:rPr>
          <w:rFonts w:hint="eastAsia"/>
          <w:spacing w:val="-3"/>
          <w:highlight w:val="none"/>
          <w:lang w:val="en-US"/>
        </w:rPr>
        <w:t>服务</w:t>
      </w:r>
      <w:r>
        <w:rPr>
          <w:spacing w:val="-3"/>
          <w:highlight w:val="none"/>
        </w:rPr>
        <w:t>地点和质量标准</w:t>
      </w:r>
      <w:bookmarkEnd w:id="37"/>
    </w:p>
    <w:p>
      <w:pPr>
        <w:pStyle w:val="11"/>
        <w:spacing w:before="2"/>
        <w:rPr>
          <w:sz w:val="29"/>
          <w:highlight w:val="none"/>
        </w:rPr>
      </w:pPr>
    </w:p>
    <w:p>
      <w:pPr>
        <w:pStyle w:val="28"/>
        <w:numPr>
          <w:ilvl w:val="2"/>
          <w:numId w:val="5"/>
        </w:numPr>
        <w:tabs>
          <w:tab w:val="left" w:pos="1346"/>
        </w:tabs>
        <w:ind w:left="1346" w:hanging="526"/>
        <w:rPr>
          <w:sz w:val="21"/>
          <w:highlight w:val="none"/>
        </w:rPr>
      </w:pPr>
      <w:r>
        <w:rPr>
          <w:spacing w:val="-3"/>
          <w:sz w:val="21"/>
          <w:highlight w:val="none"/>
        </w:rPr>
        <w:t>招标范围：见投标人须知前附表。</w:t>
      </w:r>
    </w:p>
    <w:p>
      <w:pPr>
        <w:pStyle w:val="28"/>
        <w:numPr>
          <w:ilvl w:val="2"/>
          <w:numId w:val="5"/>
        </w:numPr>
        <w:tabs>
          <w:tab w:val="left" w:pos="1346"/>
        </w:tabs>
        <w:spacing w:before="132"/>
        <w:ind w:left="1346" w:hanging="526"/>
        <w:rPr>
          <w:sz w:val="21"/>
          <w:highlight w:val="none"/>
        </w:rPr>
      </w:pPr>
      <w:r>
        <w:rPr>
          <w:rFonts w:hint="eastAsia"/>
          <w:spacing w:val="-3"/>
          <w:sz w:val="21"/>
          <w:highlight w:val="none"/>
          <w:lang w:val="en-US"/>
        </w:rPr>
        <w:t>计划服务工期</w:t>
      </w:r>
      <w:r>
        <w:rPr>
          <w:spacing w:val="-3"/>
          <w:sz w:val="21"/>
          <w:highlight w:val="none"/>
        </w:rPr>
        <w:t>：见投标人须知前附表。</w:t>
      </w:r>
    </w:p>
    <w:p>
      <w:pPr>
        <w:pStyle w:val="28"/>
        <w:numPr>
          <w:ilvl w:val="2"/>
          <w:numId w:val="5"/>
        </w:numPr>
        <w:tabs>
          <w:tab w:val="left" w:pos="1346"/>
        </w:tabs>
        <w:spacing w:before="130"/>
        <w:ind w:left="1346" w:hanging="526"/>
        <w:rPr>
          <w:sz w:val="21"/>
          <w:highlight w:val="none"/>
        </w:rPr>
      </w:pPr>
      <w:r>
        <w:rPr>
          <w:rFonts w:hint="eastAsia"/>
          <w:spacing w:val="-3"/>
          <w:sz w:val="21"/>
          <w:highlight w:val="none"/>
          <w:lang w:val="en-US"/>
        </w:rPr>
        <w:t>服务</w:t>
      </w:r>
      <w:r>
        <w:rPr>
          <w:spacing w:val="-3"/>
          <w:sz w:val="21"/>
          <w:highlight w:val="none"/>
        </w:rPr>
        <w:t>地点：见投标人须知前附表。</w:t>
      </w:r>
    </w:p>
    <w:p>
      <w:pPr>
        <w:pStyle w:val="28"/>
        <w:numPr>
          <w:ilvl w:val="2"/>
          <w:numId w:val="5"/>
        </w:numPr>
        <w:tabs>
          <w:tab w:val="left" w:pos="1346"/>
        </w:tabs>
        <w:spacing w:before="131"/>
        <w:ind w:left="1346" w:hanging="526"/>
        <w:rPr>
          <w:sz w:val="21"/>
          <w:highlight w:val="none"/>
        </w:rPr>
      </w:pPr>
      <w:r>
        <w:rPr>
          <w:spacing w:val="-3"/>
          <w:sz w:val="21"/>
          <w:highlight w:val="none"/>
        </w:rPr>
        <w:t>质量标准：见投标人须知前附表。</w:t>
      </w:r>
    </w:p>
    <w:p>
      <w:pPr>
        <w:pStyle w:val="11"/>
        <w:spacing w:before="1"/>
        <w:rPr>
          <w:sz w:val="22"/>
          <w:highlight w:val="none"/>
        </w:rPr>
      </w:pPr>
    </w:p>
    <w:p>
      <w:pPr>
        <w:pStyle w:val="5"/>
        <w:numPr>
          <w:ilvl w:val="1"/>
          <w:numId w:val="5"/>
        </w:numPr>
        <w:tabs>
          <w:tab w:val="left" w:pos="958"/>
        </w:tabs>
        <w:ind w:left="957" w:hanging="420"/>
        <w:rPr>
          <w:highlight w:val="none"/>
        </w:rPr>
      </w:pPr>
      <w:bookmarkStart w:id="38" w:name="_bookmark24"/>
      <w:bookmarkEnd w:id="38"/>
      <w:bookmarkStart w:id="39" w:name="_Toc21912"/>
      <w:r>
        <w:rPr>
          <w:spacing w:val="-1"/>
          <w:highlight w:val="none"/>
        </w:rPr>
        <w:t>投标人资格要求</w:t>
      </w:r>
      <w:bookmarkEnd w:id="39"/>
    </w:p>
    <w:p>
      <w:pPr>
        <w:pStyle w:val="11"/>
        <w:spacing w:before="2"/>
        <w:rPr>
          <w:sz w:val="29"/>
          <w:highlight w:val="none"/>
        </w:rPr>
      </w:pPr>
    </w:p>
    <w:p>
      <w:pPr>
        <w:pStyle w:val="28"/>
        <w:numPr>
          <w:ilvl w:val="2"/>
          <w:numId w:val="5"/>
        </w:numPr>
        <w:tabs>
          <w:tab w:val="left" w:pos="1346"/>
        </w:tabs>
        <w:spacing w:before="1"/>
        <w:ind w:left="1346" w:hanging="526"/>
        <w:rPr>
          <w:sz w:val="21"/>
          <w:highlight w:val="none"/>
        </w:rPr>
      </w:pPr>
      <w:r>
        <w:rPr>
          <w:spacing w:val="-3"/>
          <w:sz w:val="21"/>
          <w:highlight w:val="none"/>
        </w:rPr>
        <w:t>投标人应具备承担本招标项目资质条件、能力：</w:t>
      </w:r>
    </w:p>
    <w:p>
      <w:pPr>
        <w:pStyle w:val="28"/>
        <w:numPr>
          <w:ilvl w:val="0"/>
          <w:numId w:val="6"/>
        </w:numPr>
        <w:tabs>
          <w:tab w:val="left" w:pos="1244"/>
        </w:tabs>
        <w:spacing w:before="129"/>
        <w:rPr>
          <w:sz w:val="21"/>
          <w:highlight w:val="none"/>
        </w:rPr>
      </w:pPr>
      <w:r>
        <w:rPr>
          <w:spacing w:val="-3"/>
          <w:sz w:val="21"/>
          <w:highlight w:val="none"/>
        </w:rPr>
        <w:t>资质要求：见投标人须知前附表；</w:t>
      </w:r>
    </w:p>
    <w:p>
      <w:pPr>
        <w:pStyle w:val="28"/>
        <w:numPr>
          <w:ilvl w:val="0"/>
          <w:numId w:val="6"/>
        </w:numPr>
        <w:tabs>
          <w:tab w:val="left" w:pos="1244"/>
        </w:tabs>
        <w:spacing w:before="132"/>
        <w:rPr>
          <w:sz w:val="21"/>
          <w:highlight w:val="none"/>
        </w:rPr>
      </w:pPr>
      <w:r>
        <w:rPr>
          <w:spacing w:val="-3"/>
          <w:sz w:val="21"/>
          <w:highlight w:val="none"/>
        </w:rPr>
        <w:t>财务要求：见投标人须知前附表；</w:t>
      </w:r>
    </w:p>
    <w:p>
      <w:pPr>
        <w:pStyle w:val="28"/>
        <w:numPr>
          <w:ilvl w:val="0"/>
          <w:numId w:val="6"/>
        </w:numPr>
        <w:tabs>
          <w:tab w:val="left" w:pos="1244"/>
        </w:tabs>
        <w:spacing w:before="131"/>
        <w:rPr>
          <w:sz w:val="21"/>
          <w:highlight w:val="none"/>
        </w:rPr>
      </w:pPr>
      <w:r>
        <w:rPr>
          <w:spacing w:val="-3"/>
          <w:sz w:val="21"/>
          <w:highlight w:val="none"/>
        </w:rPr>
        <w:t>业绩要求：见投标人须知前附表；</w:t>
      </w:r>
    </w:p>
    <w:p>
      <w:pPr>
        <w:pStyle w:val="28"/>
        <w:numPr>
          <w:ilvl w:val="0"/>
          <w:numId w:val="6"/>
        </w:numPr>
        <w:tabs>
          <w:tab w:val="left" w:pos="1244"/>
        </w:tabs>
        <w:spacing w:before="131"/>
        <w:rPr>
          <w:sz w:val="21"/>
          <w:highlight w:val="none"/>
        </w:rPr>
      </w:pPr>
      <w:r>
        <w:rPr>
          <w:rFonts w:hint="eastAsia"/>
          <w:spacing w:val="-3"/>
          <w:sz w:val="21"/>
          <w:highlight w:val="none"/>
          <w:lang w:val="en-US"/>
        </w:rPr>
        <w:t>信誉要求：</w:t>
      </w:r>
      <w:r>
        <w:rPr>
          <w:spacing w:val="-3"/>
          <w:sz w:val="21"/>
          <w:highlight w:val="none"/>
        </w:rPr>
        <w:t>见投标人须知前附表；</w:t>
      </w:r>
    </w:p>
    <w:p>
      <w:pPr>
        <w:pStyle w:val="28"/>
        <w:numPr>
          <w:ilvl w:val="0"/>
          <w:numId w:val="6"/>
        </w:numPr>
        <w:tabs>
          <w:tab w:val="left" w:pos="1244"/>
        </w:tabs>
        <w:spacing w:before="132"/>
        <w:rPr>
          <w:sz w:val="21"/>
          <w:highlight w:val="none"/>
        </w:rPr>
      </w:pPr>
      <w:r>
        <w:rPr>
          <w:spacing w:val="-3"/>
          <w:sz w:val="21"/>
          <w:highlight w:val="none"/>
        </w:rPr>
        <w:t>其他要求：见投标人须知前附表。</w:t>
      </w:r>
    </w:p>
    <w:p>
      <w:pPr>
        <w:pStyle w:val="11"/>
        <w:spacing w:before="131" w:line="355" w:lineRule="auto"/>
        <w:ind w:left="400" w:right="694" w:firstLine="419"/>
        <w:rPr>
          <w:highlight w:val="none"/>
        </w:rPr>
      </w:pPr>
      <w:r>
        <w:rPr>
          <w:highlight w:val="none"/>
        </w:rPr>
        <w:t>投标人为代理经销商的，对投标人的资质要求包含对制造商的资质要求，对投标人的业绩要求包含对投标材料的业绩要求。</w:t>
      </w:r>
    </w:p>
    <w:p>
      <w:pPr>
        <w:pStyle w:val="11"/>
        <w:spacing w:before="3"/>
        <w:ind w:left="820"/>
        <w:rPr>
          <w:highlight w:val="none"/>
        </w:rPr>
      </w:pPr>
      <w:r>
        <w:rPr>
          <w:highlight w:val="none"/>
        </w:rPr>
        <w:t xml:space="preserve">需要提交的相关证明材料见本章第 </w:t>
      </w:r>
      <w:r>
        <w:rPr>
          <w:rFonts w:ascii="Times New Roman" w:eastAsia="Times New Roman"/>
          <w:highlight w:val="none"/>
        </w:rPr>
        <w:t xml:space="preserve">3.5 </w:t>
      </w:r>
      <w:r>
        <w:rPr>
          <w:highlight w:val="none"/>
        </w:rPr>
        <w:t>款的规定。</w:t>
      </w:r>
    </w:p>
    <w:p>
      <w:pPr>
        <w:rPr>
          <w:highlight w:val="none"/>
        </w:rPr>
        <w:sectPr>
          <w:pgSz w:w="12240" w:h="15840"/>
          <w:pgMar w:top="1400" w:right="1100" w:bottom="1040" w:left="1400" w:header="0" w:footer="841" w:gutter="0"/>
          <w:cols w:space="720" w:num="1"/>
        </w:sectPr>
      </w:pPr>
    </w:p>
    <w:p>
      <w:pPr>
        <w:pStyle w:val="28"/>
        <w:numPr>
          <w:ilvl w:val="2"/>
          <w:numId w:val="5"/>
        </w:numPr>
        <w:tabs>
          <w:tab w:val="left" w:pos="1322"/>
        </w:tabs>
        <w:spacing w:before="49" w:line="357" w:lineRule="auto"/>
        <w:ind w:right="691" w:firstLine="420"/>
        <w:rPr>
          <w:sz w:val="21"/>
          <w:highlight w:val="none"/>
        </w:rPr>
      </w:pPr>
      <w:r>
        <w:rPr>
          <w:spacing w:val="-4"/>
          <w:sz w:val="21"/>
          <w:highlight w:val="none"/>
        </w:rPr>
        <w:t xml:space="preserve">投标人须知前附表规定接受联合体投标的，联合体除应符合本章第 </w:t>
      </w:r>
      <w:r>
        <w:rPr>
          <w:rFonts w:ascii="Times New Roman" w:eastAsia="Times New Roman"/>
          <w:sz w:val="21"/>
          <w:highlight w:val="none"/>
        </w:rPr>
        <w:t>1.4.1</w:t>
      </w:r>
      <w:r>
        <w:rPr>
          <w:rFonts w:ascii="Times New Roman" w:eastAsia="Times New Roman"/>
          <w:spacing w:val="43"/>
          <w:sz w:val="21"/>
          <w:highlight w:val="none"/>
        </w:rPr>
        <w:t xml:space="preserve"> </w:t>
      </w:r>
      <w:r>
        <w:rPr>
          <w:spacing w:val="-1"/>
          <w:sz w:val="21"/>
          <w:highlight w:val="none"/>
        </w:rPr>
        <w:t>项和投标人</w:t>
      </w:r>
      <w:r>
        <w:rPr>
          <w:spacing w:val="-3"/>
          <w:sz w:val="21"/>
          <w:highlight w:val="none"/>
        </w:rPr>
        <w:t>须知前附表的要求外，还应遵守以下规定：</w:t>
      </w:r>
    </w:p>
    <w:p>
      <w:pPr>
        <w:pStyle w:val="28"/>
        <w:numPr>
          <w:ilvl w:val="0"/>
          <w:numId w:val="7"/>
        </w:numPr>
        <w:tabs>
          <w:tab w:val="left" w:pos="1244"/>
        </w:tabs>
        <w:spacing w:line="357" w:lineRule="auto"/>
        <w:ind w:right="694" w:firstLine="314"/>
        <w:rPr>
          <w:sz w:val="21"/>
          <w:highlight w:val="none"/>
        </w:rPr>
      </w:pPr>
      <w:r>
        <w:rPr>
          <w:spacing w:val="-4"/>
          <w:sz w:val="21"/>
          <w:highlight w:val="none"/>
        </w:rPr>
        <w:t>联合体各方应按招标文件提供的格式签订联合体协议书，明确联合体牵头人和各方权</w:t>
      </w:r>
      <w:r>
        <w:rPr>
          <w:spacing w:val="-3"/>
          <w:sz w:val="21"/>
          <w:highlight w:val="none"/>
        </w:rPr>
        <w:t>利义务，并承诺就中标项目向招标人承担连带责任；</w:t>
      </w:r>
    </w:p>
    <w:p>
      <w:pPr>
        <w:pStyle w:val="28"/>
        <w:numPr>
          <w:ilvl w:val="0"/>
          <w:numId w:val="7"/>
        </w:numPr>
        <w:tabs>
          <w:tab w:val="left" w:pos="1244"/>
        </w:tabs>
        <w:spacing w:line="269" w:lineRule="exact"/>
        <w:ind w:left="1243"/>
        <w:rPr>
          <w:sz w:val="21"/>
          <w:highlight w:val="none"/>
        </w:rPr>
      </w:pPr>
      <w:r>
        <w:rPr>
          <w:spacing w:val="-3"/>
          <w:sz w:val="21"/>
          <w:highlight w:val="none"/>
        </w:rPr>
        <w:t>由同一专业的单位组成的联合体，按照资质等级较低的单位确定资质等级；</w:t>
      </w:r>
    </w:p>
    <w:p>
      <w:pPr>
        <w:pStyle w:val="28"/>
        <w:numPr>
          <w:ilvl w:val="0"/>
          <w:numId w:val="7"/>
        </w:numPr>
        <w:tabs>
          <w:tab w:val="left" w:pos="1244"/>
        </w:tabs>
        <w:spacing w:before="127" w:line="357" w:lineRule="auto"/>
        <w:ind w:right="694" w:firstLine="314"/>
        <w:rPr>
          <w:sz w:val="21"/>
          <w:highlight w:val="none"/>
        </w:rPr>
      </w:pPr>
      <w:r>
        <w:rPr>
          <w:spacing w:val="-4"/>
          <w:sz w:val="21"/>
          <w:highlight w:val="none"/>
        </w:rPr>
        <w:t>联合体各方不得再以自己名义单独或参加其他联合体在本招标项目中投标，否则各相</w:t>
      </w:r>
      <w:r>
        <w:rPr>
          <w:spacing w:val="-2"/>
          <w:sz w:val="21"/>
          <w:highlight w:val="none"/>
        </w:rPr>
        <w:t>关投标均无效。</w:t>
      </w:r>
    </w:p>
    <w:p>
      <w:pPr>
        <w:pStyle w:val="28"/>
        <w:numPr>
          <w:ilvl w:val="2"/>
          <w:numId w:val="5"/>
        </w:numPr>
        <w:tabs>
          <w:tab w:val="left" w:pos="1346"/>
        </w:tabs>
        <w:ind w:left="1346" w:hanging="526"/>
        <w:rPr>
          <w:sz w:val="21"/>
          <w:highlight w:val="none"/>
        </w:rPr>
      </w:pPr>
      <w:r>
        <w:rPr>
          <w:spacing w:val="-3"/>
          <w:sz w:val="21"/>
          <w:highlight w:val="none"/>
        </w:rPr>
        <w:t>投标人不得存在下列情形之一：</w:t>
      </w:r>
    </w:p>
    <w:p>
      <w:pPr>
        <w:pStyle w:val="28"/>
        <w:numPr>
          <w:ilvl w:val="0"/>
          <w:numId w:val="8"/>
        </w:numPr>
        <w:tabs>
          <w:tab w:val="left" w:pos="1350"/>
        </w:tabs>
        <w:spacing w:before="130"/>
        <w:rPr>
          <w:sz w:val="21"/>
          <w:highlight w:val="none"/>
        </w:rPr>
      </w:pPr>
      <w:r>
        <w:rPr>
          <w:spacing w:val="-3"/>
          <w:sz w:val="21"/>
          <w:highlight w:val="none"/>
        </w:rPr>
        <w:t>与招标人存在利害关系且可能影响招标公正性；</w:t>
      </w:r>
    </w:p>
    <w:p>
      <w:pPr>
        <w:pStyle w:val="28"/>
        <w:numPr>
          <w:ilvl w:val="0"/>
          <w:numId w:val="8"/>
        </w:numPr>
        <w:tabs>
          <w:tab w:val="left" w:pos="1350"/>
        </w:tabs>
        <w:spacing w:before="131"/>
        <w:rPr>
          <w:sz w:val="21"/>
          <w:highlight w:val="none"/>
        </w:rPr>
      </w:pPr>
      <w:r>
        <w:rPr>
          <w:spacing w:val="-3"/>
          <w:sz w:val="21"/>
          <w:highlight w:val="none"/>
        </w:rPr>
        <w:t>与本招标项目的其他投标人为同一个单位负责人；</w:t>
      </w:r>
    </w:p>
    <w:p>
      <w:pPr>
        <w:pStyle w:val="28"/>
        <w:numPr>
          <w:ilvl w:val="0"/>
          <w:numId w:val="8"/>
        </w:numPr>
        <w:tabs>
          <w:tab w:val="left" w:pos="1350"/>
        </w:tabs>
        <w:spacing w:before="132"/>
        <w:rPr>
          <w:sz w:val="21"/>
          <w:highlight w:val="none"/>
        </w:rPr>
      </w:pPr>
      <w:r>
        <w:rPr>
          <w:spacing w:val="-3"/>
          <w:sz w:val="21"/>
          <w:highlight w:val="none"/>
        </w:rPr>
        <w:t>与本招标项目的其他投标人存在控股、管理关系；</w:t>
      </w:r>
    </w:p>
    <w:p>
      <w:pPr>
        <w:pStyle w:val="28"/>
        <w:numPr>
          <w:ilvl w:val="0"/>
          <w:numId w:val="8"/>
        </w:numPr>
        <w:tabs>
          <w:tab w:val="left" w:pos="1350"/>
        </w:tabs>
        <w:spacing w:before="130"/>
        <w:rPr>
          <w:sz w:val="21"/>
          <w:highlight w:val="none"/>
        </w:rPr>
      </w:pPr>
      <w:r>
        <w:rPr>
          <w:spacing w:val="-3"/>
          <w:sz w:val="21"/>
          <w:highlight w:val="none"/>
        </w:rPr>
        <w:t>与本招标项目其他投标人代理同一个制造商同一品牌同一型号的材料投标；</w:t>
      </w:r>
    </w:p>
    <w:p>
      <w:pPr>
        <w:pStyle w:val="28"/>
        <w:numPr>
          <w:ilvl w:val="0"/>
          <w:numId w:val="8"/>
        </w:numPr>
        <w:tabs>
          <w:tab w:val="left" w:pos="1350"/>
        </w:tabs>
        <w:spacing w:before="131"/>
        <w:rPr>
          <w:sz w:val="21"/>
          <w:highlight w:val="none"/>
        </w:rPr>
      </w:pPr>
      <w:r>
        <w:rPr>
          <w:spacing w:val="-3"/>
          <w:sz w:val="21"/>
          <w:highlight w:val="none"/>
        </w:rPr>
        <w:t>为本招标项目提供过设计、编制技术规范和其他文件的咨询服务；</w:t>
      </w:r>
    </w:p>
    <w:p>
      <w:pPr>
        <w:pStyle w:val="28"/>
        <w:numPr>
          <w:ilvl w:val="0"/>
          <w:numId w:val="8"/>
        </w:numPr>
        <w:tabs>
          <w:tab w:val="left" w:pos="1350"/>
        </w:tabs>
        <w:spacing w:before="132" w:line="355" w:lineRule="auto"/>
        <w:ind w:left="400" w:right="691" w:firstLine="420"/>
        <w:rPr>
          <w:sz w:val="21"/>
          <w:highlight w:val="none"/>
        </w:rPr>
      </w:pPr>
      <w:r>
        <w:rPr>
          <w:spacing w:val="-6"/>
          <w:sz w:val="21"/>
          <w:highlight w:val="none"/>
        </w:rPr>
        <w:t xml:space="preserve">为本工程项目的相关监理人，或者与本工程项目的相关监理人存在隶属关系或者其 </w:t>
      </w:r>
      <w:r>
        <w:rPr>
          <w:spacing w:val="-1"/>
          <w:sz w:val="21"/>
          <w:highlight w:val="none"/>
        </w:rPr>
        <w:t>他利害关系；</w:t>
      </w:r>
    </w:p>
    <w:p>
      <w:pPr>
        <w:pStyle w:val="28"/>
        <w:numPr>
          <w:ilvl w:val="0"/>
          <w:numId w:val="8"/>
        </w:numPr>
        <w:tabs>
          <w:tab w:val="left" w:pos="1350"/>
        </w:tabs>
        <w:spacing w:before="3"/>
        <w:rPr>
          <w:sz w:val="21"/>
          <w:highlight w:val="none"/>
        </w:rPr>
      </w:pPr>
      <w:r>
        <w:rPr>
          <w:spacing w:val="-3"/>
          <w:sz w:val="21"/>
          <w:highlight w:val="none"/>
        </w:rPr>
        <w:t>为本招标项目的代建人；</w:t>
      </w:r>
    </w:p>
    <w:p>
      <w:pPr>
        <w:pStyle w:val="28"/>
        <w:numPr>
          <w:ilvl w:val="0"/>
          <w:numId w:val="8"/>
        </w:numPr>
        <w:tabs>
          <w:tab w:val="left" w:pos="1350"/>
        </w:tabs>
        <w:spacing w:before="132"/>
        <w:rPr>
          <w:sz w:val="21"/>
          <w:highlight w:val="none"/>
        </w:rPr>
      </w:pPr>
      <w:r>
        <w:rPr>
          <w:spacing w:val="-3"/>
          <w:sz w:val="21"/>
          <w:highlight w:val="none"/>
        </w:rPr>
        <w:t>为本招标项目的招标代理机构；</w:t>
      </w:r>
    </w:p>
    <w:p>
      <w:pPr>
        <w:pStyle w:val="28"/>
        <w:numPr>
          <w:ilvl w:val="0"/>
          <w:numId w:val="8"/>
        </w:numPr>
        <w:tabs>
          <w:tab w:val="left" w:pos="1350"/>
        </w:tabs>
        <w:spacing w:before="129"/>
        <w:rPr>
          <w:sz w:val="21"/>
          <w:highlight w:val="none"/>
        </w:rPr>
      </w:pPr>
      <w:r>
        <w:rPr>
          <w:spacing w:val="-3"/>
          <w:sz w:val="21"/>
          <w:highlight w:val="none"/>
        </w:rPr>
        <w:t>与本招标项目的监理人或代建人或招标代理机构同为一个法定代表人；</w:t>
      </w:r>
    </w:p>
    <w:p>
      <w:pPr>
        <w:pStyle w:val="28"/>
        <w:numPr>
          <w:ilvl w:val="0"/>
          <w:numId w:val="8"/>
        </w:numPr>
        <w:tabs>
          <w:tab w:val="left" w:pos="1455"/>
        </w:tabs>
        <w:spacing w:before="132"/>
        <w:ind w:left="1455" w:hanging="635"/>
        <w:rPr>
          <w:sz w:val="21"/>
          <w:highlight w:val="none"/>
        </w:rPr>
      </w:pPr>
      <w:r>
        <w:rPr>
          <w:spacing w:val="-3"/>
          <w:sz w:val="21"/>
          <w:highlight w:val="none"/>
        </w:rPr>
        <w:t>与本招标项目的监理人或代建人或招标代理机构存在控股或参股关系；</w:t>
      </w:r>
    </w:p>
    <w:p>
      <w:pPr>
        <w:pStyle w:val="28"/>
        <w:numPr>
          <w:ilvl w:val="0"/>
          <w:numId w:val="8"/>
        </w:numPr>
        <w:tabs>
          <w:tab w:val="left" w:pos="1446"/>
        </w:tabs>
        <w:spacing w:before="132"/>
        <w:ind w:left="1445" w:hanging="625"/>
        <w:rPr>
          <w:sz w:val="21"/>
          <w:highlight w:val="none"/>
        </w:rPr>
      </w:pPr>
      <w:r>
        <w:rPr>
          <w:spacing w:val="-3"/>
          <w:sz w:val="21"/>
          <w:highlight w:val="none"/>
        </w:rPr>
        <w:t>被依法暂停或者取消投标资格；</w:t>
      </w:r>
    </w:p>
    <w:p>
      <w:pPr>
        <w:pStyle w:val="28"/>
        <w:numPr>
          <w:ilvl w:val="0"/>
          <w:numId w:val="8"/>
        </w:numPr>
        <w:tabs>
          <w:tab w:val="left" w:pos="1455"/>
        </w:tabs>
        <w:spacing w:before="129"/>
        <w:ind w:left="1455" w:hanging="635"/>
        <w:rPr>
          <w:sz w:val="21"/>
          <w:highlight w:val="none"/>
        </w:rPr>
      </w:pPr>
      <w:r>
        <w:rPr>
          <w:spacing w:val="-3"/>
          <w:sz w:val="21"/>
          <w:highlight w:val="none"/>
        </w:rPr>
        <w:t>被责令停产停业、暂扣或者吊销许可证、暂扣或者吊销执照；</w:t>
      </w:r>
    </w:p>
    <w:p>
      <w:pPr>
        <w:pStyle w:val="28"/>
        <w:numPr>
          <w:ilvl w:val="0"/>
          <w:numId w:val="8"/>
        </w:numPr>
        <w:tabs>
          <w:tab w:val="left" w:pos="1455"/>
        </w:tabs>
        <w:spacing w:before="132"/>
        <w:ind w:left="1455" w:hanging="635"/>
        <w:rPr>
          <w:sz w:val="21"/>
          <w:highlight w:val="none"/>
        </w:rPr>
      </w:pPr>
      <w:r>
        <w:rPr>
          <w:spacing w:val="-3"/>
          <w:sz w:val="21"/>
          <w:highlight w:val="none"/>
        </w:rPr>
        <w:t>进入清算程序，或被宣告破产，或其他丧失履约能力的情形；</w:t>
      </w:r>
    </w:p>
    <w:p>
      <w:pPr>
        <w:pStyle w:val="28"/>
        <w:numPr>
          <w:ilvl w:val="0"/>
          <w:numId w:val="8"/>
        </w:numPr>
        <w:tabs>
          <w:tab w:val="left" w:pos="1455"/>
        </w:tabs>
        <w:spacing w:before="132" w:line="355" w:lineRule="auto"/>
        <w:ind w:left="400" w:right="693" w:firstLine="420"/>
        <w:rPr>
          <w:sz w:val="21"/>
          <w:highlight w:val="none"/>
        </w:rPr>
      </w:pPr>
      <w:r>
        <w:rPr>
          <w:spacing w:val="-2"/>
          <w:sz w:val="21"/>
          <w:highlight w:val="none"/>
        </w:rPr>
        <w:t>在最近三年内发生重大产品质量问题</w:t>
      </w:r>
      <w:r>
        <w:rPr>
          <w:spacing w:val="-3"/>
          <w:sz w:val="21"/>
          <w:highlight w:val="none"/>
        </w:rPr>
        <w:t>（</w:t>
      </w:r>
      <w:r>
        <w:rPr>
          <w:spacing w:val="-4"/>
          <w:sz w:val="21"/>
          <w:highlight w:val="none"/>
        </w:rPr>
        <w:t>以相关行业主管部门的行政处罚决定或司法</w:t>
      </w:r>
      <w:r>
        <w:rPr>
          <w:spacing w:val="-3"/>
          <w:sz w:val="21"/>
          <w:highlight w:val="none"/>
        </w:rPr>
        <w:t>机关出具的有关法律文书为准</w:t>
      </w:r>
      <w:r>
        <w:rPr>
          <w:spacing w:val="-108"/>
          <w:sz w:val="21"/>
          <w:highlight w:val="none"/>
        </w:rPr>
        <w:t>）</w:t>
      </w:r>
      <w:r>
        <w:rPr>
          <w:sz w:val="21"/>
          <w:highlight w:val="none"/>
        </w:rPr>
        <w:t>；</w:t>
      </w:r>
    </w:p>
    <w:p>
      <w:pPr>
        <w:pStyle w:val="28"/>
        <w:numPr>
          <w:ilvl w:val="0"/>
          <w:numId w:val="8"/>
        </w:numPr>
        <w:tabs>
          <w:tab w:val="left" w:pos="1455"/>
        </w:tabs>
        <w:spacing w:line="266" w:lineRule="exact"/>
        <w:ind w:left="1455" w:hanging="635"/>
        <w:rPr>
          <w:sz w:val="21"/>
          <w:highlight w:val="none"/>
        </w:rPr>
      </w:pPr>
      <w:r>
        <w:rPr>
          <w:spacing w:val="-3"/>
          <w:sz w:val="21"/>
          <w:highlight w:val="none"/>
        </w:rPr>
        <w:t>法律法规或投标人须知前附表规定的其他情形。</w:t>
      </w:r>
    </w:p>
    <w:p>
      <w:pPr>
        <w:spacing w:line="266" w:lineRule="exact"/>
        <w:rPr>
          <w:sz w:val="21"/>
          <w:highlight w:val="none"/>
        </w:rPr>
        <w:sectPr>
          <w:pgSz w:w="12240" w:h="15840"/>
          <w:pgMar w:top="1500" w:right="1100" w:bottom="1120" w:left="1400" w:header="0" w:footer="841" w:gutter="0"/>
          <w:cols w:space="720" w:num="1"/>
        </w:sectPr>
      </w:pPr>
    </w:p>
    <w:p>
      <w:pPr>
        <w:pStyle w:val="5"/>
        <w:numPr>
          <w:ilvl w:val="1"/>
          <w:numId w:val="5"/>
        </w:numPr>
        <w:tabs>
          <w:tab w:val="left" w:pos="1027"/>
        </w:tabs>
        <w:spacing w:before="41"/>
        <w:ind w:hanging="489"/>
        <w:rPr>
          <w:highlight w:val="none"/>
        </w:rPr>
      </w:pPr>
      <w:bookmarkStart w:id="40" w:name="_bookmark25"/>
      <w:bookmarkEnd w:id="40"/>
      <w:bookmarkStart w:id="41" w:name="_Toc30187"/>
      <w:r>
        <w:rPr>
          <w:highlight w:val="none"/>
        </w:rPr>
        <w:t>费用承担</w:t>
      </w:r>
      <w:bookmarkEnd w:id="41"/>
    </w:p>
    <w:p>
      <w:pPr>
        <w:pStyle w:val="11"/>
        <w:spacing w:before="2"/>
        <w:rPr>
          <w:sz w:val="29"/>
          <w:highlight w:val="none"/>
        </w:rPr>
      </w:pPr>
    </w:p>
    <w:p>
      <w:pPr>
        <w:pStyle w:val="11"/>
        <w:ind w:left="820"/>
        <w:rPr>
          <w:highlight w:val="none"/>
        </w:rPr>
      </w:pPr>
      <w:r>
        <w:rPr>
          <w:highlight w:val="none"/>
        </w:rPr>
        <w:t>投标人准备和参加投标活动发生的费用自理。</w:t>
      </w:r>
    </w:p>
    <w:p>
      <w:pPr>
        <w:pStyle w:val="11"/>
        <w:spacing w:before="11"/>
        <w:rPr>
          <w:highlight w:val="none"/>
        </w:rPr>
      </w:pPr>
    </w:p>
    <w:p>
      <w:pPr>
        <w:pStyle w:val="5"/>
        <w:numPr>
          <w:ilvl w:val="1"/>
          <w:numId w:val="5"/>
        </w:numPr>
        <w:tabs>
          <w:tab w:val="left" w:pos="958"/>
        </w:tabs>
        <w:ind w:left="957" w:hanging="420"/>
        <w:rPr>
          <w:highlight w:val="none"/>
        </w:rPr>
      </w:pPr>
      <w:bookmarkStart w:id="42" w:name="_bookmark26"/>
      <w:bookmarkEnd w:id="42"/>
      <w:bookmarkStart w:id="43" w:name="_Toc30491"/>
      <w:r>
        <w:rPr>
          <w:highlight w:val="none"/>
        </w:rPr>
        <w:t>保密</w:t>
      </w:r>
      <w:bookmarkEnd w:id="43"/>
    </w:p>
    <w:p>
      <w:pPr>
        <w:pStyle w:val="11"/>
        <w:spacing w:before="2"/>
        <w:rPr>
          <w:sz w:val="29"/>
          <w:highlight w:val="none"/>
        </w:rPr>
      </w:pPr>
    </w:p>
    <w:p>
      <w:pPr>
        <w:pStyle w:val="11"/>
        <w:spacing w:line="357" w:lineRule="auto"/>
        <w:ind w:left="400" w:right="694" w:firstLine="419"/>
        <w:rPr>
          <w:highlight w:val="none"/>
        </w:rPr>
      </w:pPr>
      <w:r>
        <w:rPr>
          <w:highlight w:val="none"/>
        </w:rPr>
        <w:t>参与招标投标活动的各方应对招标文件和投标文件中的商业和技术等秘密保密，否则应承担相应的法律责任。</w:t>
      </w:r>
    </w:p>
    <w:p>
      <w:pPr>
        <w:pStyle w:val="5"/>
        <w:numPr>
          <w:ilvl w:val="1"/>
          <w:numId w:val="5"/>
        </w:numPr>
        <w:tabs>
          <w:tab w:val="left" w:pos="1027"/>
        </w:tabs>
        <w:spacing w:before="151"/>
        <w:ind w:hanging="489"/>
        <w:rPr>
          <w:highlight w:val="none"/>
        </w:rPr>
      </w:pPr>
      <w:bookmarkStart w:id="44" w:name="_bookmark27"/>
      <w:bookmarkEnd w:id="44"/>
      <w:bookmarkStart w:id="45" w:name="_Toc32639"/>
      <w:r>
        <w:rPr>
          <w:highlight w:val="none"/>
        </w:rPr>
        <w:t>语言文字</w:t>
      </w:r>
      <w:bookmarkEnd w:id="45"/>
    </w:p>
    <w:p>
      <w:pPr>
        <w:pStyle w:val="11"/>
        <w:spacing w:before="2"/>
        <w:rPr>
          <w:sz w:val="29"/>
          <w:highlight w:val="none"/>
        </w:rPr>
      </w:pPr>
    </w:p>
    <w:p>
      <w:pPr>
        <w:pStyle w:val="11"/>
        <w:ind w:left="820"/>
        <w:rPr>
          <w:highlight w:val="none"/>
        </w:rPr>
      </w:pPr>
      <w:r>
        <w:rPr>
          <w:highlight w:val="none"/>
        </w:rPr>
        <w:t>招标投标文件使用的语言文字为中文。专用术语使用外文的，应附有中文注释。</w:t>
      </w:r>
    </w:p>
    <w:p>
      <w:pPr>
        <w:pStyle w:val="11"/>
        <w:spacing w:before="11"/>
        <w:rPr>
          <w:highlight w:val="none"/>
        </w:rPr>
      </w:pPr>
    </w:p>
    <w:p>
      <w:pPr>
        <w:pStyle w:val="5"/>
        <w:numPr>
          <w:ilvl w:val="1"/>
          <w:numId w:val="5"/>
        </w:numPr>
        <w:tabs>
          <w:tab w:val="left" w:pos="958"/>
        </w:tabs>
        <w:spacing w:before="1"/>
        <w:ind w:left="957" w:hanging="420"/>
        <w:rPr>
          <w:highlight w:val="none"/>
        </w:rPr>
      </w:pPr>
      <w:bookmarkStart w:id="46" w:name="_bookmark28"/>
      <w:bookmarkEnd w:id="46"/>
      <w:bookmarkStart w:id="47" w:name="_Toc27437"/>
      <w:r>
        <w:rPr>
          <w:highlight w:val="none"/>
        </w:rPr>
        <w:t>计量单位</w:t>
      </w:r>
      <w:bookmarkEnd w:id="47"/>
    </w:p>
    <w:p>
      <w:pPr>
        <w:pStyle w:val="11"/>
        <w:spacing w:before="1"/>
        <w:rPr>
          <w:sz w:val="29"/>
          <w:highlight w:val="none"/>
        </w:rPr>
      </w:pPr>
    </w:p>
    <w:p>
      <w:pPr>
        <w:pStyle w:val="11"/>
        <w:spacing w:before="1"/>
        <w:ind w:left="820"/>
        <w:rPr>
          <w:highlight w:val="none"/>
        </w:rPr>
      </w:pPr>
      <w:r>
        <w:rPr>
          <w:highlight w:val="none"/>
        </w:rPr>
        <w:t>所有计量均采用中华人民共和国法定计量单位。</w:t>
      </w:r>
    </w:p>
    <w:p>
      <w:pPr>
        <w:pStyle w:val="11"/>
        <w:rPr>
          <w:sz w:val="22"/>
          <w:highlight w:val="none"/>
        </w:rPr>
      </w:pPr>
    </w:p>
    <w:p>
      <w:pPr>
        <w:pStyle w:val="5"/>
        <w:numPr>
          <w:ilvl w:val="1"/>
          <w:numId w:val="5"/>
        </w:numPr>
        <w:tabs>
          <w:tab w:val="left" w:pos="958"/>
        </w:tabs>
        <w:ind w:left="957" w:hanging="420"/>
        <w:rPr>
          <w:highlight w:val="none"/>
        </w:rPr>
      </w:pPr>
      <w:bookmarkStart w:id="48" w:name="_bookmark29"/>
      <w:bookmarkEnd w:id="48"/>
      <w:bookmarkStart w:id="49" w:name="_Toc24456"/>
      <w:r>
        <w:rPr>
          <w:spacing w:val="-1"/>
          <w:highlight w:val="none"/>
        </w:rPr>
        <w:t>投标预备会</w:t>
      </w:r>
      <w:bookmarkEnd w:id="49"/>
    </w:p>
    <w:p>
      <w:pPr>
        <w:pStyle w:val="11"/>
        <w:spacing w:before="3"/>
        <w:rPr>
          <w:sz w:val="29"/>
          <w:highlight w:val="none"/>
        </w:rPr>
      </w:pPr>
    </w:p>
    <w:p>
      <w:pPr>
        <w:pStyle w:val="28"/>
        <w:numPr>
          <w:ilvl w:val="2"/>
          <w:numId w:val="5"/>
        </w:numPr>
        <w:tabs>
          <w:tab w:val="left" w:pos="1346"/>
        </w:tabs>
        <w:spacing w:line="357" w:lineRule="auto"/>
        <w:ind w:right="691" w:firstLine="420"/>
        <w:rPr>
          <w:sz w:val="21"/>
          <w:highlight w:val="none"/>
        </w:rPr>
      </w:pPr>
      <w:r>
        <w:rPr>
          <w:spacing w:val="-7"/>
          <w:sz w:val="21"/>
          <w:highlight w:val="none"/>
        </w:rPr>
        <w:t>投标人须知前附表规定召开投标预备会的，招标人按投标人须知前附表规定的时间和</w:t>
      </w:r>
      <w:r>
        <w:rPr>
          <w:spacing w:val="-5"/>
          <w:sz w:val="21"/>
          <w:highlight w:val="none"/>
        </w:rPr>
        <w:t>地点召开投标预备会，澄清投标人提出的问题。</w:t>
      </w:r>
    </w:p>
    <w:p>
      <w:pPr>
        <w:pStyle w:val="28"/>
        <w:numPr>
          <w:ilvl w:val="2"/>
          <w:numId w:val="5"/>
        </w:numPr>
        <w:tabs>
          <w:tab w:val="left" w:pos="1346"/>
        </w:tabs>
        <w:spacing w:line="357" w:lineRule="auto"/>
        <w:ind w:right="691" w:firstLine="420"/>
        <w:rPr>
          <w:sz w:val="21"/>
          <w:highlight w:val="none"/>
        </w:rPr>
      </w:pPr>
      <w:r>
        <w:rPr>
          <w:spacing w:val="-6"/>
          <w:sz w:val="21"/>
          <w:highlight w:val="none"/>
        </w:rPr>
        <w:t>投标人应按投标人须知前附表规定的时间和形式将提出的问题送达招标人，以便招标</w:t>
      </w:r>
      <w:r>
        <w:rPr>
          <w:spacing w:val="-4"/>
          <w:sz w:val="21"/>
          <w:highlight w:val="none"/>
        </w:rPr>
        <w:t>人在会议期间澄清。</w:t>
      </w:r>
    </w:p>
    <w:p>
      <w:pPr>
        <w:pStyle w:val="28"/>
        <w:numPr>
          <w:ilvl w:val="2"/>
          <w:numId w:val="5"/>
        </w:numPr>
        <w:tabs>
          <w:tab w:val="left" w:pos="1346"/>
        </w:tabs>
        <w:spacing w:line="355" w:lineRule="auto"/>
        <w:ind w:right="691" w:firstLine="420"/>
        <w:rPr>
          <w:sz w:val="21"/>
          <w:highlight w:val="none"/>
        </w:rPr>
      </w:pPr>
      <w:r>
        <w:rPr>
          <w:spacing w:val="-10"/>
          <w:sz w:val="21"/>
          <w:highlight w:val="none"/>
        </w:rPr>
        <w:t>投标预备会后，招标人将对投标人所提问题的澄清，以投标人须知前附表规定的形式</w:t>
      </w:r>
      <w:r>
        <w:rPr>
          <w:spacing w:val="-5"/>
          <w:sz w:val="21"/>
          <w:highlight w:val="none"/>
        </w:rPr>
        <w:t>通知所有购买招标文件的投标人。该澄清内容为招标文件的组成部分。</w:t>
      </w:r>
    </w:p>
    <w:p>
      <w:pPr>
        <w:pStyle w:val="5"/>
        <w:numPr>
          <w:ilvl w:val="1"/>
          <w:numId w:val="5"/>
        </w:numPr>
        <w:tabs>
          <w:tab w:val="left" w:pos="1166"/>
        </w:tabs>
        <w:spacing w:before="151"/>
        <w:ind w:left="1166" w:hanging="629"/>
        <w:rPr>
          <w:highlight w:val="none"/>
        </w:rPr>
      </w:pPr>
      <w:bookmarkStart w:id="50" w:name="_bookmark30"/>
      <w:bookmarkEnd w:id="50"/>
      <w:bookmarkStart w:id="51" w:name="_Toc19061"/>
      <w:r>
        <w:rPr>
          <w:highlight w:val="none"/>
        </w:rPr>
        <w:t>分包</w:t>
      </w:r>
      <w:bookmarkEnd w:id="51"/>
    </w:p>
    <w:p>
      <w:pPr>
        <w:pStyle w:val="11"/>
        <w:spacing w:before="2"/>
        <w:rPr>
          <w:sz w:val="29"/>
          <w:highlight w:val="none"/>
        </w:rPr>
      </w:pPr>
    </w:p>
    <w:p>
      <w:pPr>
        <w:pStyle w:val="28"/>
        <w:numPr>
          <w:ilvl w:val="2"/>
          <w:numId w:val="5"/>
        </w:numPr>
        <w:tabs>
          <w:tab w:val="left" w:pos="1454"/>
        </w:tabs>
        <w:spacing w:line="357" w:lineRule="auto"/>
        <w:ind w:right="694" w:firstLine="420"/>
        <w:jc w:val="both"/>
        <w:rPr>
          <w:sz w:val="21"/>
          <w:highlight w:val="none"/>
        </w:rPr>
      </w:pPr>
      <w:r>
        <w:rPr>
          <w:spacing w:val="-4"/>
          <w:sz w:val="21"/>
          <w:highlight w:val="none"/>
        </w:rPr>
        <w:t>投标人拟在中标后将中标项目的非主体材料进行分包的，应符合投标人须知前附表规定的分包内容、分包金额和资质要求等限制性条件，除投标人须知前附表规定的非主体材料</w:t>
      </w:r>
      <w:r>
        <w:rPr>
          <w:spacing w:val="-3"/>
          <w:sz w:val="21"/>
          <w:highlight w:val="none"/>
        </w:rPr>
        <w:t>外，其他工作不得分包。</w:t>
      </w:r>
    </w:p>
    <w:p>
      <w:pPr>
        <w:pStyle w:val="28"/>
        <w:numPr>
          <w:ilvl w:val="2"/>
          <w:numId w:val="5"/>
        </w:numPr>
        <w:tabs>
          <w:tab w:val="left" w:pos="1454"/>
        </w:tabs>
        <w:spacing w:line="355" w:lineRule="auto"/>
        <w:ind w:right="694" w:firstLine="420"/>
        <w:rPr>
          <w:sz w:val="21"/>
          <w:highlight w:val="none"/>
        </w:rPr>
      </w:pPr>
      <w:r>
        <w:rPr>
          <w:spacing w:val="-4"/>
          <w:sz w:val="21"/>
          <w:highlight w:val="none"/>
        </w:rPr>
        <w:t>中标人不得向他人转让中标项目，接受分包的人不得再次分包。中标人应当就分包</w:t>
      </w:r>
      <w:r>
        <w:rPr>
          <w:spacing w:val="-3"/>
          <w:sz w:val="21"/>
          <w:highlight w:val="none"/>
        </w:rPr>
        <w:t>项目向招标人负责，接受分包的人就分包项目承担连带责任。</w:t>
      </w:r>
    </w:p>
    <w:p>
      <w:pPr>
        <w:pStyle w:val="5"/>
        <w:numPr>
          <w:ilvl w:val="1"/>
          <w:numId w:val="5"/>
        </w:numPr>
        <w:tabs>
          <w:tab w:val="left" w:pos="1087"/>
        </w:tabs>
        <w:spacing w:before="151"/>
        <w:ind w:left="1086" w:hanging="549"/>
        <w:rPr>
          <w:highlight w:val="none"/>
        </w:rPr>
      </w:pPr>
      <w:bookmarkStart w:id="52" w:name="_bookmark31"/>
      <w:bookmarkEnd w:id="52"/>
      <w:bookmarkStart w:id="53" w:name="_Toc10019"/>
      <w:r>
        <w:rPr>
          <w:spacing w:val="-1"/>
          <w:highlight w:val="none"/>
        </w:rPr>
        <w:t>响应和偏差</w:t>
      </w:r>
      <w:bookmarkEnd w:id="53"/>
    </w:p>
    <w:p>
      <w:pPr>
        <w:pStyle w:val="11"/>
        <w:spacing w:before="2"/>
        <w:rPr>
          <w:sz w:val="29"/>
          <w:highlight w:val="none"/>
        </w:rPr>
      </w:pPr>
    </w:p>
    <w:p>
      <w:pPr>
        <w:pStyle w:val="28"/>
        <w:numPr>
          <w:ilvl w:val="2"/>
          <w:numId w:val="5"/>
        </w:numPr>
        <w:tabs>
          <w:tab w:val="left" w:pos="1378"/>
        </w:tabs>
        <w:spacing w:before="1"/>
        <w:ind w:left="1377" w:hanging="557"/>
        <w:rPr>
          <w:sz w:val="21"/>
          <w:highlight w:val="none"/>
        </w:rPr>
      </w:pPr>
      <w:r>
        <w:rPr>
          <w:spacing w:val="-3"/>
          <w:sz w:val="21"/>
          <w:highlight w:val="none"/>
        </w:rPr>
        <w:t>投标文件应当对招标文件的实质性要求和条件作出满足性或更有利于招标人的响应，</w:t>
      </w:r>
    </w:p>
    <w:p>
      <w:pPr>
        <w:rPr>
          <w:sz w:val="21"/>
          <w:highlight w:val="none"/>
        </w:rPr>
        <w:sectPr>
          <w:pgSz w:w="12240" w:h="15840"/>
          <w:pgMar w:top="1400" w:right="1100" w:bottom="1120" w:left="1400" w:header="0" w:footer="841" w:gutter="0"/>
          <w:cols w:space="720" w:num="1"/>
        </w:sectPr>
      </w:pPr>
    </w:p>
    <w:p>
      <w:pPr>
        <w:pStyle w:val="11"/>
        <w:spacing w:before="49"/>
        <w:ind w:left="400"/>
        <w:rPr>
          <w:highlight w:val="none"/>
        </w:rPr>
      </w:pPr>
      <w:r>
        <w:rPr>
          <w:highlight w:val="none"/>
        </w:rPr>
        <w:t>否则，投标人的投标将被否决。实质性要求和条件见投标人须知前附表。</w:t>
      </w:r>
    </w:p>
    <w:p>
      <w:pPr>
        <w:pStyle w:val="28"/>
        <w:numPr>
          <w:ilvl w:val="2"/>
          <w:numId w:val="5"/>
        </w:numPr>
        <w:tabs>
          <w:tab w:val="left" w:pos="1447"/>
        </w:tabs>
        <w:spacing w:before="132" w:line="355" w:lineRule="auto"/>
        <w:ind w:right="696" w:firstLine="420"/>
        <w:rPr>
          <w:sz w:val="21"/>
          <w:highlight w:val="none"/>
        </w:rPr>
      </w:pPr>
      <w:r>
        <w:rPr>
          <w:spacing w:val="-4"/>
          <w:sz w:val="21"/>
          <w:highlight w:val="none"/>
        </w:rPr>
        <w:t>投标人应根据招标文件的要求提供投标材料质量标准的详细描述、技术支持资料及</w:t>
      </w:r>
      <w:r>
        <w:rPr>
          <w:spacing w:val="-3"/>
          <w:sz w:val="21"/>
          <w:highlight w:val="none"/>
        </w:rPr>
        <w:t>相关服务计划等内容以对招标文件作出响应。</w:t>
      </w:r>
    </w:p>
    <w:p>
      <w:pPr>
        <w:pStyle w:val="28"/>
        <w:numPr>
          <w:ilvl w:val="2"/>
          <w:numId w:val="5"/>
        </w:numPr>
        <w:tabs>
          <w:tab w:val="left" w:pos="1447"/>
        </w:tabs>
        <w:spacing w:before="3" w:line="357" w:lineRule="auto"/>
        <w:ind w:right="694" w:firstLine="420"/>
        <w:jc w:val="both"/>
        <w:rPr>
          <w:sz w:val="21"/>
          <w:highlight w:val="none"/>
        </w:rPr>
      </w:pPr>
      <w:r>
        <w:rPr>
          <w:spacing w:val="-3"/>
          <w:sz w:val="21"/>
          <w:highlight w:val="none"/>
        </w:rPr>
        <w:t>投标文件中应针对实质性要求和条件中列明的技术要求提供技术支持资料。技术支</w:t>
      </w:r>
      <w:r>
        <w:rPr>
          <w:spacing w:val="-4"/>
          <w:sz w:val="21"/>
          <w:highlight w:val="none"/>
        </w:rPr>
        <w:t>持资料以制造商公开发布的印刷资料，或检测机构出具的检测报告或投标人须知前附表允许的</w:t>
      </w:r>
      <w:r>
        <w:rPr>
          <w:spacing w:val="-3"/>
          <w:sz w:val="21"/>
          <w:highlight w:val="none"/>
        </w:rPr>
        <w:t>其他形式为准，不符合前述要求的，视为无技术支持资料，其投标将被否决。</w:t>
      </w:r>
    </w:p>
    <w:p>
      <w:pPr>
        <w:pStyle w:val="28"/>
        <w:numPr>
          <w:ilvl w:val="2"/>
          <w:numId w:val="5"/>
        </w:numPr>
        <w:tabs>
          <w:tab w:val="left" w:pos="1447"/>
        </w:tabs>
        <w:spacing w:line="357" w:lineRule="auto"/>
        <w:ind w:right="697" w:firstLine="420"/>
        <w:rPr>
          <w:sz w:val="21"/>
          <w:highlight w:val="none"/>
        </w:rPr>
      </w:pPr>
      <w:r>
        <w:rPr>
          <w:spacing w:val="-4"/>
          <w:sz w:val="21"/>
          <w:highlight w:val="none"/>
        </w:rPr>
        <w:t>投标人须知前附表规定了可以偏差的范围和最高偏差项数的，偏差应当符合投标人</w:t>
      </w:r>
      <w:r>
        <w:rPr>
          <w:spacing w:val="-3"/>
          <w:sz w:val="21"/>
          <w:highlight w:val="none"/>
        </w:rPr>
        <w:t>须知前附表规定的偏差范围和最高项数，超出偏差范围和最高偏差项数的投标将被否决。</w:t>
      </w:r>
    </w:p>
    <w:p>
      <w:pPr>
        <w:pStyle w:val="28"/>
        <w:numPr>
          <w:ilvl w:val="2"/>
          <w:numId w:val="5"/>
        </w:numPr>
        <w:tabs>
          <w:tab w:val="left" w:pos="1447"/>
        </w:tabs>
        <w:spacing w:line="357" w:lineRule="auto"/>
        <w:ind w:right="696" w:firstLine="420"/>
        <w:rPr>
          <w:sz w:val="21"/>
          <w:highlight w:val="none"/>
        </w:rPr>
      </w:pPr>
      <w:r>
        <w:rPr>
          <w:spacing w:val="-4"/>
          <w:sz w:val="21"/>
          <w:highlight w:val="none"/>
        </w:rPr>
        <w:t>投标文件对招标文件的全部偏差，均应在投标文件的商务和技术偏差表中列明，除</w:t>
      </w:r>
      <w:r>
        <w:rPr>
          <w:spacing w:val="-3"/>
          <w:sz w:val="21"/>
          <w:highlight w:val="none"/>
        </w:rPr>
        <w:t>列明的内容外，视为投标人响应招标文件的全部要求。</w:t>
      </w:r>
    </w:p>
    <w:p>
      <w:pPr>
        <w:pStyle w:val="4"/>
        <w:numPr>
          <w:ilvl w:val="0"/>
          <w:numId w:val="5"/>
        </w:numPr>
        <w:tabs>
          <w:tab w:val="left" w:pos="802"/>
        </w:tabs>
        <w:spacing w:before="41"/>
        <w:rPr>
          <w:highlight w:val="none"/>
        </w:rPr>
      </w:pPr>
      <w:bookmarkStart w:id="54" w:name="_bookmark32"/>
      <w:bookmarkEnd w:id="54"/>
      <w:bookmarkStart w:id="55" w:name="_Toc24953"/>
      <w:bookmarkStart w:id="56" w:name="_Toc6251"/>
      <w:r>
        <w:rPr>
          <w:highlight w:val="none"/>
        </w:rPr>
        <w:t>招标文件</w:t>
      </w:r>
      <w:bookmarkEnd w:id="55"/>
      <w:bookmarkEnd w:id="56"/>
    </w:p>
    <w:p>
      <w:pPr>
        <w:pStyle w:val="11"/>
        <w:spacing w:before="10"/>
        <w:rPr>
          <w:rFonts w:ascii="Microsoft JhengHei"/>
          <w:b/>
          <w:sz w:val="26"/>
          <w:highlight w:val="none"/>
        </w:rPr>
      </w:pPr>
    </w:p>
    <w:p>
      <w:pPr>
        <w:pStyle w:val="5"/>
        <w:numPr>
          <w:ilvl w:val="1"/>
          <w:numId w:val="5"/>
        </w:numPr>
        <w:tabs>
          <w:tab w:val="left" w:pos="1027"/>
        </w:tabs>
        <w:ind w:hanging="489"/>
        <w:rPr>
          <w:highlight w:val="none"/>
        </w:rPr>
      </w:pPr>
      <w:bookmarkStart w:id="57" w:name="_bookmark33"/>
      <w:bookmarkEnd w:id="57"/>
      <w:bookmarkStart w:id="58" w:name="_Toc20360"/>
      <w:r>
        <w:rPr>
          <w:spacing w:val="-1"/>
          <w:highlight w:val="none"/>
        </w:rPr>
        <w:t>招标文件的组成</w:t>
      </w:r>
      <w:bookmarkEnd w:id="58"/>
    </w:p>
    <w:p>
      <w:pPr>
        <w:pStyle w:val="11"/>
        <w:spacing w:before="2"/>
        <w:rPr>
          <w:sz w:val="29"/>
          <w:highlight w:val="none"/>
        </w:rPr>
      </w:pPr>
    </w:p>
    <w:p>
      <w:pPr>
        <w:pStyle w:val="11"/>
        <w:spacing w:before="1"/>
        <w:ind w:left="760"/>
        <w:rPr>
          <w:highlight w:val="none"/>
        </w:rPr>
      </w:pPr>
      <w:r>
        <w:rPr>
          <w:highlight w:val="none"/>
        </w:rPr>
        <w:t>本招标文件包括：</w:t>
      </w:r>
    </w:p>
    <w:p>
      <w:pPr>
        <w:pStyle w:val="28"/>
        <w:numPr>
          <w:ilvl w:val="0"/>
          <w:numId w:val="9"/>
        </w:numPr>
        <w:tabs>
          <w:tab w:val="left" w:pos="1290"/>
        </w:tabs>
        <w:spacing w:before="129"/>
        <w:rPr>
          <w:sz w:val="21"/>
          <w:highlight w:val="none"/>
        </w:rPr>
      </w:pPr>
      <w:r>
        <w:rPr>
          <w:spacing w:val="-3"/>
          <w:sz w:val="21"/>
          <w:highlight w:val="none"/>
        </w:rPr>
        <w:t>招标公告</w:t>
      </w:r>
      <w:r>
        <w:rPr>
          <w:sz w:val="21"/>
          <w:highlight w:val="none"/>
        </w:rPr>
        <w:t>（</w:t>
      </w:r>
      <w:r>
        <w:rPr>
          <w:spacing w:val="-3"/>
          <w:sz w:val="21"/>
          <w:highlight w:val="none"/>
        </w:rPr>
        <w:t>或投标邀请书</w:t>
      </w:r>
      <w:r>
        <w:rPr>
          <w:spacing w:val="-108"/>
          <w:sz w:val="21"/>
          <w:highlight w:val="none"/>
        </w:rPr>
        <w:t>）</w:t>
      </w:r>
      <w:r>
        <w:rPr>
          <w:sz w:val="21"/>
          <w:highlight w:val="none"/>
        </w:rPr>
        <w:t>；</w:t>
      </w:r>
    </w:p>
    <w:p>
      <w:pPr>
        <w:pStyle w:val="28"/>
        <w:numPr>
          <w:ilvl w:val="0"/>
          <w:numId w:val="9"/>
        </w:numPr>
        <w:tabs>
          <w:tab w:val="left" w:pos="1290"/>
        </w:tabs>
        <w:spacing w:before="132"/>
        <w:rPr>
          <w:sz w:val="21"/>
          <w:highlight w:val="none"/>
        </w:rPr>
      </w:pPr>
      <w:r>
        <w:rPr>
          <w:spacing w:val="-3"/>
          <w:sz w:val="21"/>
          <w:highlight w:val="none"/>
        </w:rPr>
        <w:t>投标人须知；</w:t>
      </w:r>
    </w:p>
    <w:p>
      <w:pPr>
        <w:pStyle w:val="28"/>
        <w:numPr>
          <w:ilvl w:val="0"/>
          <w:numId w:val="9"/>
        </w:numPr>
        <w:tabs>
          <w:tab w:val="left" w:pos="1290"/>
        </w:tabs>
        <w:spacing w:before="131"/>
        <w:rPr>
          <w:sz w:val="21"/>
          <w:highlight w:val="none"/>
        </w:rPr>
      </w:pPr>
      <w:r>
        <w:rPr>
          <w:spacing w:val="-3"/>
          <w:sz w:val="21"/>
          <w:highlight w:val="none"/>
        </w:rPr>
        <w:t>评标办法；</w:t>
      </w:r>
    </w:p>
    <w:p>
      <w:pPr>
        <w:pStyle w:val="28"/>
        <w:numPr>
          <w:ilvl w:val="0"/>
          <w:numId w:val="9"/>
        </w:numPr>
        <w:tabs>
          <w:tab w:val="left" w:pos="1290"/>
        </w:tabs>
        <w:spacing w:before="130"/>
        <w:rPr>
          <w:sz w:val="21"/>
          <w:highlight w:val="none"/>
        </w:rPr>
      </w:pPr>
      <w:r>
        <w:rPr>
          <w:spacing w:val="-3"/>
          <w:sz w:val="21"/>
          <w:highlight w:val="none"/>
        </w:rPr>
        <w:t>合同条款及格式；</w:t>
      </w:r>
    </w:p>
    <w:p>
      <w:pPr>
        <w:pStyle w:val="28"/>
        <w:numPr>
          <w:ilvl w:val="0"/>
          <w:numId w:val="9"/>
        </w:numPr>
        <w:tabs>
          <w:tab w:val="left" w:pos="1290"/>
        </w:tabs>
        <w:spacing w:before="132"/>
        <w:rPr>
          <w:sz w:val="21"/>
          <w:highlight w:val="none"/>
        </w:rPr>
      </w:pPr>
      <w:r>
        <w:rPr>
          <w:spacing w:val="-3"/>
          <w:sz w:val="21"/>
          <w:highlight w:val="none"/>
        </w:rPr>
        <w:t>供货要求；</w:t>
      </w:r>
    </w:p>
    <w:p>
      <w:pPr>
        <w:pStyle w:val="28"/>
        <w:numPr>
          <w:ilvl w:val="0"/>
          <w:numId w:val="9"/>
        </w:numPr>
        <w:tabs>
          <w:tab w:val="left" w:pos="1290"/>
        </w:tabs>
        <w:spacing w:before="131"/>
        <w:rPr>
          <w:sz w:val="21"/>
          <w:highlight w:val="none"/>
        </w:rPr>
      </w:pPr>
      <w:r>
        <w:rPr>
          <w:spacing w:val="-3"/>
          <w:sz w:val="21"/>
          <w:highlight w:val="none"/>
        </w:rPr>
        <w:t>投标文件格式；</w:t>
      </w:r>
    </w:p>
    <w:p>
      <w:pPr>
        <w:pStyle w:val="28"/>
        <w:numPr>
          <w:ilvl w:val="0"/>
          <w:numId w:val="9"/>
        </w:numPr>
        <w:tabs>
          <w:tab w:val="left" w:pos="1290"/>
        </w:tabs>
        <w:spacing w:before="130"/>
        <w:rPr>
          <w:sz w:val="21"/>
          <w:highlight w:val="none"/>
        </w:rPr>
      </w:pPr>
      <w:r>
        <w:rPr>
          <w:spacing w:val="-3"/>
          <w:sz w:val="21"/>
          <w:highlight w:val="none"/>
        </w:rPr>
        <w:t>投标人须知前附表规定的其他资料。</w:t>
      </w:r>
    </w:p>
    <w:p>
      <w:pPr>
        <w:pStyle w:val="11"/>
        <w:spacing w:before="132" w:line="357" w:lineRule="auto"/>
        <w:ind w:left="400" w:right="693" w:firstLine="419"/>
        <w:rPr>
          <w:highlight w:val="none"/>
        </w:rPr>
      </w:pPr>
      <w:r>
        <w:rPr>
          <w:spacing w:val="-10"/>
          <w:highlight w:val="none"/>
        </w:rPr>
        <w:t xml:space="preserve">根据本章第 </w:t>
      </w:r>
      <w:r>
        <w:rPr>
          <w:rFonts w:ascii="Times New Roman" w:eastAsia="Times New Roman"/>
          <w:highlight w:val="none"/>
        </w:rPr>
        <w:t xml:space="preserve">1.9 </w:t>
      </w:r>
      <w:r>
        <w:rPr>
          <w:spacing w:val="-15"/>
          <w:highlight w:val="none"/>
        </w:rPr>
        <w:t xml:space="preserve">款、第 </w:t>
      </w:r>
      <w:r>
        <w:rPr>
          <w:rFonts w:ascii="Times New Roman" w:eastAsia="Times New Roman"/>
          <w:highlight w:val="none"/>
        </w:rPr>
        <w:t xml:space="preserve">2.2 </w:t>
      </w:r>
      <w:r>
        <w:rPr>
          <w:spacing w:val="-13"/>
          <w:highlight w:val="none"/>
        </w:rPr>
        <w:t xml:space="preserve">款和第 </w:t>
      </w:r>
      <w:r>
        <w:rPr>
          <w:rFonts w:ascii="Times New Roman" w:eastAsia="Times New Roman"/>
          <w:highlight w:val="none"/>
        </w:rPr>
        <w:t xml:space="preserve">2.3 </w:t>
      </w:r>
      <w:r>
        <w:rPr>
          <w:spacing w:val="-5"/>
          <w:highlight w:val="none"/>
        </w:rPr>
        <w:t>款对招标文件所作的澄清、修改，构成招标文件的组</w:t>
      </w:r>
      <w:r>
        <w:rPr>
          <w:spacing w:val="-4"/>
          <w:highlight w:val="none"/>
        </w:rPr>
        <w:t>成部分。</w:t>
      </w:r>
    </w:p>
    <w:p>
      <w:pPr>
        <w:pStyle w:val="5"/>
        <w:numPr>
          <w:ilvl w:val="1"/>
          <w:numId w:val="5"/>
        </w:numPr>
        <w:tabs>
          <w:tab w:val="left" w:pos="1027"/>
        </w:tabs>
        <w:spacing w:before="148"/>
        <w:ind w:hanging="489"/>
        <w:rPr>
          <w:highlight w:val="none"/>
        </w:rPr>
      </w:pPr>
      <w:bookmarkStart w:id="59" w:name="_bookmark34"/>
      <w:bookmarkEnd w:id="59"/>
      <w:bookmarkStart w:id="60" w:name="_Toc26241"/>
      <w:r>
        <w:rPr>
          <w:spacing w:val="-1"/>
          <w:highlight w:val="none"/>
        </w:rPr>
        <w:t>招标文件的澄清</w:t>
      </w:r>
      <w:bookmarkEnd w:id="60"/>
    </w:p>
    <w:p>
      <w:pPr>
        <w:pStyle w:val="11"/>
        <w:spacing w:before="2"/>
        <w:rPr>
          <w:sz w:val="29"/>
          <w:highlight w:val="none"/>
        </w:rPr>
      </w:pPr>
    </w:p>
    <w:p>
      <w:pPr>
        <w:pStyle w:val="28"/>
        <w:numPr>
          <w:ilvl w:val="2"/>
          <w:numId w:val="5"/>
        </w:numPr>
        <w:tabs>
          <w:tab w:val="left" w:pos="1346"/>
        </w:tabs>
        <w:spacing w:line="357" w:lineRule="auto"/>
        <w:ind w:right="691" w:firstLine="420"/>
        <w:jc w:val="both"/>
        <w:rPr>
          <w:sz w:val="21"/>
          <w:highlight w:val="none"/>
        </w:rPr>
      </w:pPr>
      <w:r>
        <w:rPr>
          <w:spacing w:val="-7"/>
          <w:sz w:val="21"/>
          <w:highlight w:val="none"/>
        </w:rPr>
        <w:t>投标人应仔细阅读和检查招标文件的全部内容。如发现缺页或附件不全，应及时向招标人提出，以便补齐。如有疑问，应按投标人须知前附表规定的时间和形式将提出的问题送达</w:t>
      </w:r>
      <w:r>
        <w:rPr>
          <w:spacing w:val="-5"/>
          <w:sz w:val="21"/>
          <w:highlight w:val="none"/>
        </w:rPr>
        <w:t>招标人，要求招标人对招标文件予以澄清。</w:t>
      </w:r>
    </w:p>
    <w:p>
      <w:pPr>
        <w:pStyle w:val="28"/>
        <w:numPr>
          <w:ilvl w:val="2"/>
          <w:numId w:val="5"/>
        </w:numPr>
        <w:tabs>
          <w:tab w:val="left" w:pos="1294"/>
        </w:tabs>
        <w:spacing w:line="357" w:lineRule="auto"/>
        <w:ind w:right="691" w:firstLine="420"/>
        <w:rPr>
          <w:highlight w:val="none"/>
        </w:rPr>
      </w:pPr>
      <w:r>
        <w:rPr>
          <w:rFonts w:hint="eastAsia"/>
          <w:spacing w:val="-4"/>
          <w:sz w:val="21"/>
          <w:highlight w:val="none"/>
        </w:rPr>
        <w:t>招标文件的澄清将在投标人须知前附表规定的投标截止时间15天前以书面形式发给所有购买招标文件的投标人，但不指明澄清问题的来源</w:t>
      </w:r>
      <w:r>
        <w:rPr>
          <w:spacing w:val="-5"/>
          <w:sz w:val="21"/>
          <w:highlight w:val="none"/>
        </w:rPr>
        <w:t>。澄清发出的时间距</w:t>
      </w:r>
      <w:r>
        <w:rPr>
          <w:spacing w:val="-6"/>
          <w:sz w:val="21"/>
          <w:highlight w:val="none"/>
        </w:rPr>
        <w:t>投标截止时间不足</w:t>
      </w:r>
      <w:r>
        <w:rPr>
          <w:rFonts w:hint="eastAsia"/>
          <w:spacing w:val="-6"/>
          <w:sz w:val="21"/>
          <w:highlight w:val="none"/>
          <w:lang w:val="en-US"/>
        </w:rPr>
        <w:t>1</w:t>
      </w:r>
      <w:r>
        <w:rPr>
          <w:rFonts w:hint="eastAsia" w:ascii="Times New Roman"/>
          <w:sz w:val="21"/>
          <w:highlight w:val="none"/>
          <w:lang w:val="en-US"/>
        </w:rPr>
        <w:t>5</w:t>
      </w:r>
      <w:r>
        <w:rPr>
          <w:spacing w:val="-3"/>
          <w:sz w:val="21"/>
          <w:highlight w:val="none"/>
        </w:rPr>
        <w:t>日的，</w:t>
      </w:r>
      <w:r>
        <w:rPr>
          <w:highlight w:val="none"/>
        </w:rPr>
        <w:t>并且澄清内容可能影响投标文件编制的，将相应延长投标截止时间。</w:t>
      </w:r>
    </w:p>
    <w:p>
      <w:pPr>
        <w:pStyle w:val="28"/>
        <w:numPr>
          <w:ilvl w:val="2"/>
          <w:numId w:val="5"/>
        </w:numPr>
        <w:tabs>
          <w:tab w:val="left" w:pos="1346"/>
        </w:tabs>
        <w:spacing w:before="132" w:line="355" w:lineRule="auto"/>
        <w:ind w:right="697" w:firstLine="420"/>
        <w:rPr>
          <w:sz w:val="21"/>
          <w:highlight w:val="none"/>
        </w:rPr>
      </w:pPr>
      <w:r>
        <w:rPr>
          <w:spacing w:val="-8"/>
          <w:sz w:val="21"/>
          <w:highlight w:val="none"/>
        </w:rPr>
        <w:t>投标人在收到澄清后，应按投标人须知前附表规定的时间和形式通知招标人，确认已</w:t>
      </w:r>
      <w:r>
        <w:rPr>
          <w:spacing w:val="-2"/>
          <w:sz w:val="21"/>
          <w:highlight w:val="none"/>
        </w:rPr>
        <w:t>收到该澄清。</w:t>
      </w:r>
    </w:p>
    <w:p>
      <w:pPr>
        <w:pStyle w:val="28"/>
        <w:numPr>
          <w:ilvl w:val="2"/>
          <w:numId w:val="5"/>
        </w:numPr>
        <w:tabs>
          <w:tab w:val="left" w:pos="1346"/>
        </w:tabs>
        <w:spacing w:before="3" w:line="357" w:lineRule="auto"/>
        <w:ind w:right="691" w:firstLine="420"/>
        <w:rPr>
          <w:sz w:val="21"/>
          <w:highlight w:val="none"/>
        </w:rPr>
      </w:pPr>
      <w:r>
        <w:rPr>
          <w:spacing w:val="-4"/>
          <w:sz w:val="21"/>
          <w:highlight w:val="none"/>
        </w:rPr>
        <w:t xml:space="preserve">除非招标人认为确有必要答复，否则，招标人有权拒绝回复投标人在本章第 </w:t>
      </w:r>
      <w:r>
        <w:rPr>
          <w:rFonts w:ascii="Times New Roman" w:eastAsia="Times New Roman"/>
          <w:sz w:val="21"/>
          <w:highlight w:val="none"/>
        </w:rPr>
        <w:t>2.2.1</w:t>
      </w:r>
      <w:r>
        <w:rPr>
          <w:rFonts w:ascii="Times New Roman" w:eastAsia="Times New Roman"/>
          <w:spacing w:val="32"/>
          <w:sz w:val="21"/>
          <w:highlight w:val="none"/>
        </w:rPr>
        <w:t xml:space="preserve"> </w:t>
      </w:r>
      <w:r>
        <w:rPr>
          <w:sz w:val="21"/>
          <w:highlight w:val="none"/>
        </w:rPr>
        <w:t>项</w:t>
      </w:r>
      <w:r>
        <w:rPr>
          <w:spacing w:val="-3"/>
          <w:sz w:val="21"/>
          <w:highlight w:val="none"/>
        </w:rPr>
        <w:t>规定的时间后的任何澄清要求。</w:t>
      </w:r>
    </w:p>
    <w:p>
      <w:pPr>
        <w:pStyle w:val="5"/>
        <w:numPr>
          <w:ilvl w:val="1"/>
          <w:numId w:val="5"/>
        </w:numPr>
        <w:tabs>
          <w:tab w:val="left" w:pos="1027"/>
        </w:tabs>
        <w:spacing w:before="148"/>
        <w:ind w:hanging="489"/>
        <w:rPr>
          <w:highlight w:val="none"/>
        </w:rPr>
      </w:pPr>
      <w:bookmarkStart w:id="61" w:name="_bookmark35"/>
      <w:bookmarkEnd w:id="61"/>
      <w:bookmarkStart w:id="62" w:name="_Toc5399"/>
      <w:r>
        <w:rPr>
          <w:spacing w:val="-1"/>
          <w:highlight w:val="none"/>
        </w:rPr>
        <w:t>招标文件的修改</w:t>
      </w:r>
      <w:bookmarkEnd w:id="62"/>
    </w:p>
    <w:p>
      <w:pPr>
        <w:pStyle w:val="11"/>
        <w:spacing w:before="3"/>
        <w:rPr>
          <w:sz w:val="29"/>
          <w:highlight w:val="none"/>
        </w:rPr>
      </w:pPr>
    </w:p>
    <w:p>
      <w:pPr>
        <w:pStyle w:val="28"/>
        <w:numPr>
          <w:ilvl w:val="2"/>
          <w:numId w:val="5"/>
        </w:numPr>
        <w:tabs>
          <w:tab w:val="left" w:pos="1294"/>
        </w:tabs>
        <w:spacing w:line="357" w:lineRule="auto"/>
        <w:ind w:right="691" w:firstLine="420"/>
        <w:jc w:val="both"/>
        <w:rPr>
          <w:sz w:val="21"/>
          <w:highlight w:val="none"/>
        </w:rPr>
      </w:pPr>
      <w:r>
        <w:rPr>
          <w:spacing w:val="-4"/>
          <w:sz w:val="21"/>
          <w:highlight w:val="none"/>
        </w:rPr>
        <w:t>招标人以投标人须知前附表规定的形式修改招标文件，并通知所有已购买招标文件的</w:t>
      </w:r>
      <w:r>
        <w:rPr>
          <w:spacing w:val="-5"/>
          <w:sz w:val="21"/>
          <w:highlight w:val="none"/>
        </w:rPr>
        <w:t xml:space="preserve">投标人。修改招标文件的时间距本章第 </w:t>
      </w:r>
      <w:r>
        <w:rPr>
          <w:rFonts w:ascii="Times New Roman" w:eastAsia="Times New Roman"/>
          <w:sz w:val="21"/>
          <w:highlight w:val="none"/>
        </w:rPr>
        <w:t>4.2.1</w:t>
      </w:r>
      <w:r>
        <w:rPr>
          <w:rFonts w:ascii="Times New Roman" w:eastAsia="Times New Roman"/>
          <w:spacing w:val="18"/>
          <w:sz w:val="21"/>
          <w:highlight w:val="none"/>
        </w:rPr>
        <w:t xml:space="preserve"> </w:t>
      </w:r>
      <w:r>
        <w:rPr>
          <w:spacing w:val="-6"/>
          <w:sz w:val="21"/>
          <w:highlight w:val="none"/>
        </w:rPr>
        <w:t>项规定的投标截止时间不足</w:t>
      </w:r>
      <w:r>
        <w:rPr>
          <w:rFonts w:hint="eastAsia"/>
          <w:spacing w:val="-6"/>
          <w:sz w:val="21"/>
          <w:highlight w:val="none"/>
          <w:lang w:val="en-US"/>
        </w:rPr>
        <w:t>15</w:t>
      </w:r>
      <w:r>
        <w:rPr>
          <w:spacing w:val="-3"/>
          <w:sz w:val="21"/>
          <w:highlight w:val="none"/>
        </w:rPr>
        <w:t>日的，并且修改内容可能影响投标文件编制的，将相应延长投标截止时间。</w:t>
      </w:r>
    </w:p>
    <w:p>
      <w:pPr>
        <w:pStyle w:val="28"/>
        <w:numPr>
          <w:ilvl w:val="2"/>
          <w:numId w:val="5"/>
        </w:numPr>
        <w:tabs>
          <w:tab w:val="left" w:pos="1346"/>
        </w:tabs>
        <w:spacing w:line="357" w:lineRule="auto"/>
        <w:ind w:right="693" w:firstLine="420"/>
        <w:rPr>
          <w:sz w:val="21"/>
          <w:highlight w:val="none"/>
        </w:rPr>
      </w:pPr>
      <w:r>
        <w:rPr>
          <w:spacing w:val="-8"/>
          <w:sz w:val="21"/>
          <w:highlight w:val="none"/>
        </w:rPr>
        <w:t>投标人收到修改内容后，应按投标人须知前附表规定的时间和形式通知招标人，确认</w:t>
      </w:r>
      <w:r>
        <w:rPr>
          <w:spacing w:val="-5"/>
          <w:sz w:val="21"/>
          <w:highlight w:val="none"/>
        </w:rPr>
        <w:t>已收到该修改。</w:t>
      </w:r>
    </w:p>
    <w:p>
      <w:pPr>
        <w:pStyle w:val="5"/>
        <w:numPr>
          <w:ilvl w:val="1"/>
          <w:numId w:val="5"/>
        </w:numPr>
        <w:tabs>
          <w:tab w:val="left" w:pos="1027"/>
        </w:tabs>
        <w:spacing w:before="148"/>
        <w:ind w:hanging="489"/>
        <w:rPr>
          <w:sz w:val="29"/>
          <w:highlight w:val="none"/>
        </w:rPr>
      </w:pPr>
      <w:bookmarkStart w:id="63" w:name="_bookmark36"/>
      <w:bookmarkEnd w:id="63"/>
      <w:bookmarkStart w:id="64" w:name="_Toc30079"/>
      <w:r>
        <w:rPr>
          <w:spacing w:val="-1"/>
          <w:highlight w:val="none"/>
        </w:rPr>
        <w:t>招标文件的异议</w:t>
      </w:r>
      <w:bookmarkEnd w:id="64"/>
    </w:p>
    <w:p>
      <w:pPr>
        <w:pStyle w:val="11"/>
        <w:spacing w:before="129" w:line="360" w:lineRule="auto"/>
        <w:ind w:left="400" w:firstLine="420" w:firstLineChars="200"/>
        <w:rPr>
          <w:highlight w:val="none"/>
        </w:rPr>
      </w:pPr>
      <w:r>
        <w:rPr>
          <w:rFonts w:hint="eastAsia"/>
          <w:highlight w:val="none"/>
        </w:rPr>
        <w:t>潜在投标人或者其他利害关系人对招标文件有异议的，应当在投标截止时间10日前提出。招标人应当自收到异议之日起3日内作出答复；作出答复前，应当暂停招标投标活动</w:t>
      </w:r>
      <w:r>
        <w:rPr>
          <w:highlight w:val="none"/>
        </w:rPr>
        <w:t>。</w:t>
      </w:r>
    </w:p>
    <w:p>
      <w:pPr>
        <w:pStyle w:val="4"/>
        <w:numPr>
          <w:ilvl w:val="0"/>
          <w:numId w:val="5"/>
        </w:numPr>
        <w:tabs>
          <w:tab w:val="left" w:pos="802"/>
        </w:tabs>
        <w:spacing w:before="178"/>
        <w:rPr>
          <w:highlight w:val="none"/>
        </w:rPr>
      </w:pPr>
      <w:bookmarkStart w:id="65" w:name="_bookmark37"/>
      <w:bookmarkEnd w:id="65"/>
      <w:bookmarkStart w:id="66" w:name="_Toc20058"/>
      <w:bookmarkStart w:id="67" w:name="_Toc31673"/>
      <w:r>
        <w:rPr>
          <w:highlight w:val="none"/>
        </w:rPr>
        <w:t>投标文件</w:t>
      </w:r>
      <w:bookmarkEnd w:id="66"/>
      <w:bookmarkEnd w:id="67"/>
    </w:p>
    <w:p>
      <w:pPr>
        <w:pStyle w:val="11"/>
        <w:spacing w:before="10"/>
        <w:rPr>
          <w:rFonts w:ascii="Microsoft JhengHei"/>
          <w:b/>
          <w:sz w:val="26"/>
          <w:highlight w:val="none"/>
        </w:rPr>
      </w:pPr>
    </w:p>
    <w:p>
      <w:pPr>
        <w:pStyle w:val="5"/>
        <w:numPr>
          <w:ilvl w:val="1"/>
          <w:numId w:val="5"/>
        </w:numPr>
        <w:tabs>
          <w:tab w:val="left" w:pos="1027"/>
        </w:tabs>
        <w:ind w:hanging="489"/>
        <w:rPr>
          <w:highlight w:val="none"/>
        </w:rPr>
      </w:pPr>
      <w:bookmarkStart w:id="68" w:name="_bookmark38"/>
      <w:bookmarkEnd w:id="68"/>
      <w:bookmarkStart w:id="69" w:name="_Toc28391"/>
      <w:r>
        <w:rPr>
          <w:spacing w:val="-1"/>
          <w:highlight w:val="none"/>
        </w:rPr>
        <w:t>投标文件的组成</w:t>
      </w:r>
      <w:bookmarkEnd w:id="69"/>
    </w:p>
    <w:p>
      <w:pPr>
        <w:pStyle w:val="11"/>
        <w:spacing w:before="2"/>
        <w:rPr>
          <w:sz w:val="29"/>
          <w:highlight w:val="none"/>
        </w:rPr>
      </w:pPr>
    </w:p>
    <w:p>
      <w:pPr>
        <w:pStyle w:val="28"/>
        <w:numPr>
          <w:ilvl w:val="2"/>
          <w:numId w:val="5"/>
        </w:numPr>
        <w:tabs>
          <w:tab w:val="left" w:pos="1346"/>
        </w:tabs>
        <w:ind w:left="1346" w:hanging="524"/>
        <w:rPr>
          <w:sz w:val="21"/>
          <w:highlight w:val="none"/>
        </w:rPr>
      </w:pPr>
      <w:r>
        <w:rPr>
          <w:spacing w:val="-3"/>
          <w:sz w:val="21"/>
          <w:highlight w:val="none"/>
        </w:rPr>
        <w:t>投标文件应包括下列内容：</w:t>
      </w:r>
    </w:p>
    <w:p>
      <w:pPr>
        <w:spacing w:line="276" w:lineRule="auto"/>
        <w:ind w:firstLine="880" w:firstLineChars="400"/>
        <w:rPr>
          <w:rFonts w:asciiTheme="minorEastAsia" w:hAnsiTheme="minorEastAsia"/>
          <w:highlight w:val="none"/>
        </w:rPr>
      </w:pPr>
      <w:r>
        <w:rPr>
          <w:rFonts w:hint="eastAsia" w:asciiTheme="minorEastAsia" w:hAnsiTheme="minorEastAsia"/>
          <w:highlight w:val="none"/>
        </w:rPr>
        <w:t>投标文件应包括下列内容：</w:t>
      </w:r>
    </w:p>
    <w:p>
      <w:pPr>
        <w:spacing w:line="276" w:lineRule="auto"/>
        <w:ind w:firstLine="880" w:firstLineChars="400"/>
        <w:rPr>
          <w:rFonts w:asciiTheme="minorEastAsia" w:hAnsiTheme="minorEastAsia"/>
          <w:highlight w:val="none"/>
        </w:rPr>
      </w:pPr>
      <w:r>
        <w:rPr>
          <w:rFonts w:hint="eastAsia" w:asciiTheme="minorEastAsia" w:hAnsiTheme="minorEastAsia"/>
          <w:highlight w:val="none"/>
        </w:rPr>
        <w:t>第一信封（商务及技术文件）</w:t>
      </w:r>
    </w:p>
    <w:p>
      <w:pPr>
        <w:spacing w:line="276" w:lineRule="auto"/>
        <w:ind w:firstLine="880" w:firstLineChars="400"/>
        <w:rPr>
          <w:rFonts w:asciiTheme="minorEastAsia" w:hAnsiTheme="minorEastAsia"/>
          <w:highlight w:val="none"/>
        </w:rPr>
      </w:pPr>
      <w:r>
        <w:rPr>
          <w:rFonts w:hint="eastAsia" w:asciiTheme="minorEastAsia" w:hAnsiTheme="minorEastAsia"/>
          <w:highlight w:val="none"/>
        </w:rPr>
        <w:t>（1）投标函；</w:t>
      </w:r>
    </w:p>
    <w:p>
      <w:pPr>
        <w:spacing w:line="276" w:lineRule="auto"/>
        <w:ind w:firstLine="880" w:firstLineChars="400"/>
        <w:rPr>
          <w:rFonts w:asciiTheme="minorEastAsia" w:hAnsiTheme="minorEastAsia"/>
          <w:highlight w:val="none"/>
        </w:rPr>
      </w:pPr>
      <w:r>
        <w:rPr>
          <w:rFonts w:hint="eastAsia" w:asciiTheme="minorEastAsia" w:hAnsiTheme="minorEastAsia"/>
          <w:highlight w:val="none"/>
        </w:rPr>
        <w:t>（2）法定代表人身份证明或授权委托书；</w:t>
      </w:r>
    </w:p>
    <w:p>
      <w:pPr>
        <w:spacing w:line="276" w:lineRule="auto"/>
        <w:ind w:firstLine="880" w:firstLineChars="400"/>
        <w:rPr>
          <w:rFonts w:asciiTheme="minorEastAsia" w:hAnsiTheme="minorEastAsia"/>
          <w:highlight w:val="none"/>
        </w:rPr>
      </w:pPr>
      <w:r>
        <w:rPr>
          <w:rFonts w:hint="eastAsia" w:asciiTheme="minorEastAsia" w:hAnsiTheme="minorEastAsia"/>
          <w:highlight w:val="none"/>
        </w:rPr>
        <w:t>（3）投标保证金；</w:t>
      </w:r>
    </w:p>
    <w:p>
      <w:pPr>
        <w:spacing w:line="276" w:lineRule="auto"/>
        <w:ind w:firstLine="880" w:firstLineChars="400"/>
        <w:rPr>
          <w:rFonts w:asciiTheme="minorEastAsia" w:hAnsiTheme="minorEastAsia"/>
          <w:highlight w:val="none"/>
        </w:rPr>
      </w:pPr>
      <w:r>
        <w:rPr>
          <w:rFonts w:hint="eastAsia" w:asciiTheme="minorEastAsia" w:hAnsiTheme="minorEastAsia"/>
          <w:highlight w:val="none"/>
        </w:rPr>
        <w:t>（4）商务和技术偏差表；</w:t>
      </w:r>
    </w:p>
    <w:p>
      <w:pPr>
        <w:spacing w:line="276" w:lineRule="auto"/>
        <w:ind w:firstLine="880" w:firstLineChars="400"/>
        <w:rPr>
          <w:rFonts w:asciiTheme="minorEastAsia" w:hAnsiTheme="minorEastAsia"/>
          <w:highlight w:val="none"/>
        </w:rPr>
      </w:pPr>
      <w:r>
        <w:rPr>
          <w:rFonts w:hint="eastAsia" w:asciiTheme="minorEastAsia" w:hAnsiTheme="minorEastAsia"/>
          <w:highlight w:val="none"/>
        </w:rPr>
        <w:t>（5）资格审查资料；</w:t>
      </w:r>
    </w:p>
    <w:p>
      <w:pPr>
        <w:spacing w:line="276" w:lineRule="auto"/>
        <w:ind w:firstLine="880" w:firstLineChars="400"/>
        <w:rPr>
          <w:rFonts w:asciiTheme="minorEastAsia" w:hAnsiTheme="minorEastAsia"/>
          <w:highlight w:val="none"/>
        </w:rPr>
      </w:pPr>
      <w:r>
        <w:rPr>
          <w:rFonts w:hint="eastAsia" w:asciiTheme="minorEastAsia" w:hAnsiTheme="minorEastAsia"/>
          <w:highlight w:val="none"/>
        </w:rPr>
        <w:t>（6）运输计划方案；</w:t>
      </w:r>
    </w:p>
    <w:p>
      <w:pPr>
        <w:spacing w:line="276" w:lineRule="auto"/>
        <w:ind w:firstLine="880" w:firstLineChars="400"/>
        <w:rPr>
          <w:rFonts w:asciiTheme="minorEastAsia" w:hAnsiTheme="minorEastAsia"/>
          <w:highlight w:val="none"/>
        </w:rPr>
      </w:pPr>
      <w:r>
        <w:rPr>
          <w:rFonts w:hint="eastAsia" w:asciiTheme="minorEastAsia" w:hAnsiTheme="minorEastAsia"/>
          <w:highlight w:val="none"/>
        </w:rPr>
        <w:t>（7）承诺函；</w:t>
      </w:r>
    </w:p>
    <w:p>
      <w:pPr>
        <w:spacing w:line="276" w:lineRule="auto"/>
        <w:ind w:firstLine="880" w:firstLineChars="400"/>
        <w:rPr>
          <w:rFonts w:asciiTheme="minorEastAsia" w:hAnsiTheme="minorEastAsia"/>
          <w:highlight w:val="none"/>
        </w:rPr>
      </w:pPr>
      <w:r>
        <w:rPr>
          <w:rFonts w:hint="eastAsia" w:asciiTheme="minorEastAsia" w:hAnsiTheme="minorEastAsia"/>
          <w:highlight w:val="none"/>
        </w:rPr>
        <w:t>（8）其他资料。</w:t>
      </w:r>
    </w:p>
    <w:p>
      <w:pPr>
        <w:spacing w:line="276" w:lineRule="auto"/>
        <w:ind w:firstLine="880" w:firstLineChars="400"/>
        <w:rPr>
          <w:rFonts w:asciiTheme="minorEastAsia" w:hAnsiTheme="minorEastAsia"/>
          <w:highlight w:val="none"/>
        </w:rPr>
      </w:pPr>
      <w:r>
        <w:rPr>
          <w:rFonts w:hint="eastAsia" w:asciiTheme="minorEastAsia" w:hAnsiTheme="minorEastAsia"/>
          <w:highlight w:val="none"/>
        </w:rPr>
        <w:t>第二信封（报价文件）</w:t>
      </w:r>
    </w:p>
    <w:p>
      <w:pPr>
        <w:spacing w:line="276" w:lineRule="auto"/>
        <w:ind w:firstLine="880" w:firstLineChars="400"/>
        <w:rPr>
          <w:rFonts w:asciiTheme="minorEastAsia" w:hAnsiTheme="minorEastAsia"/>
          <w:highlight w:val="none"/>
        </w:rPr>
      </w:pPr>
      <w:r>
        <w:rPr>
          <w:rFonts w:hint="eastAsia" w:asciiTheme="minorEastAsia" w:hAnsiTheme="minorEastAsia"/>
          <w:highlight w:val="none"/>
        </w:rPr>
        <w:t>（1）报价函；</w:t>
      </w:r>
    </w:p>
    <w:p>
      <w:pPr>
        <w:spacing w:line="276" w:lineRule="auto"/>
        <w:ind w:firstLine="880" w:firstLineChars="400"/>
        <w:rPr>
          <w:rFonts w:asciiTheme="minorEastAsia" w:hAnsiTheme="minorEastAsia"/>
          <w:highlight w:val="none"/>
        </w:rPr>
      </w:pPr>
      <w:r>
        <w:rPr>
          <w:rFonts w:hint="eastAsia" w:asciiTheme="minorEastAsia" w:hAnsiTheme="minorEastAsia"/>
          <w:highlight w:val="none"/>
        </w:rPr>
        <w:t>（2）分项报价表。</w:t>
      </w:r>
    </w:p>
    <w:p>
      <w:pPr>
        <w:pStyle w:val="11"/>
        <w:spacing w:before="132" w:line="355" w:lineRule="auto"/>
        <w:ind w:left="400" w:right="694" w:firstLine="419"/>
        <w:jc w:val="both"/>
        <w:rPr>
          <w:highlight w:val="none"/>
        </w:rPr>
      </w:pPr>
      <w:r>
        <w:rPr>
          <w:highlight w:val="none"/>
        </w:rPr>
        <w:t>投标人在评标过程中作出的符合法律法规和招标文件规定的澄清确认，构成投标文件的组成部分。</w:t>
      </w:r>
    </w:p>
    <w:p>
      <w:pPr>
        <w:pStyle w:val="28"/>
        <w:numPr>
          <w:ilvl w:val="2"/>
          <w:numId w:val="5"/>
        </w:numPr>
        <w:tabs>
          <w:tab w:val="left" w:pos="1286"/>
        </w:tabs>
        <w:spacing w:before="3" w:line="357" w:lineRule="auto"/>
        <w:ind w:right="691" w:firstLine="360"/>
        <w:jc w:val="both"/>
        <w:rPr>
          <w:sz w:val="21"/>
          <w:highlight w:val="none"/>
        </w:rPr>
      </w:pPr>
      <w:r>
        <w:rPr>
          <w:spacing w:val="-5"/>
          <w:sz w:val="21"/>
          <w:highlight w:val="none"/>
        </w:rPr>
        <w:t>投标人须知前附表规定不接受联合体投标的，或投标人没有组成联合体的，投标文件</w:t>
      </w:r>
      <w:r>
        <w:rPr>
          <w:spacing w:val="-11"/>
          <w:sz w:val="21"/>
          <w:highlight w:val="none"/>
        </w:rPr>
        <w:t xml:space="preserve">不包括本章第 </w:t>
      </w:r>
      <w:r>
        <w:rPr>
          <w:rFonts w:ascii="Times New Roman" w:eastAsia="Times New Roman"/>
          <w:sz w:val="21"/>
          <w:highlight w:val="none"/>
        </w:rPr>
        <w:t>3.1.1</w:t>
      </w:r>
      <w:r>
        <w:rPr>
          <w:sz w:val="21"/>
          <w:highlight w:val="none"/>
        </w:rPr>
        <w:t>（</w:t>
      </w:r>
      <w:r>
        <w:rPr>
          <w:rFonts w:ascii="Times New Roman" w:eastAsia="Times New Roman"/>
          <w:sz w:val="21"/>
          <w:highlight w:val="none"/>
        </w:rPr>
        <w:t>3</w:t>
      </w:r>
      <w:r>
        <w:rPr>
          <w:sz w:val="21"/>
          <w:highlight w:val="none"/>
        </w:rPr>
        <w:t>）</w:t>
      </w:r>
      <w:r>
        <w:rPr>
          <w:spacing w:val="-3"/>
          <w:sz w:val="21"/>
          <w:highlight w:val="none"/>
        </w:rPr>
        <w:t>目所指的联合体协议书。</w:t>
      </w:r>
    </w:p>
    <w:p>
      <w:pPr>
        <w:pStyle w:val="28"/>
        <w:numPr>
          <w:ilvl w:val="2"/>
          <w:numId w:val="5"/>
        </w:numPr>
        <w:tabs>
          <w:tab w:val="left" w:pos="1286"/>
        </w:tabs>
        <w:spacing w:line="357" w:lineRule="auto"/>
        <w:ind w:right="693" w:firstLine="360"/>
        <w:jc w:val="both"/>
        <w:rPr>
          <w:sz w:val="21"/>
          <w:highlight w:val="none"/>
        </w:rPr>
      </w:pPr>
      <w:r>
        <w:rPr>
          <w:spacing w:val="-3"/>
          <w:sz w:val="21"/>
          <w:highlight w:val="none"/>
        </w:rPr>
        <w:t xml:space="preserve">投标人须知前附表未要求提交投标保证金的，投标文件不包括本章第 </w:t>
      </w:r>
      <w:r>
        <w:rPr>
          <w:rFonts w:ascii="Times New Roman" w:eastAsia="Times New Roman"/>
          <w:sz w:val="21"/>
          <w:highlight w:val="none"/>
        </w:rPr>
        <w:t>3.1.1</w:t>
      </w:r>
      <w:r>
        <w:rPr>
          <w:sz w:val="21"/>
          <w:highlight w:val="none"/>
        </w:rPr>
        <w:t>（</w:t>
      </w:r>
      <w:r>
        <w:rPr>
          <w:rFonts w:ascii="Times New Roman" w:eastAsia="Times New Roman"/>
          <w:sz w:val="21"/>
          <w:highlight w:val="none"/>
        </w:rPr>
        <w:t>4</w:t>
      </w:r>
      <w:r>
        <w:rPr>
          <w:sz w:val="21"/>
          <w:highlight w:val="none"/>
        </w:rPr>
        <w:t>）</w:t>
      </w:r>
      <w:r>
        <w:rPr>
          <w:spacing w:val="-2"/>
          <w:sz w:val="21"/>
          <w:highlight w:val="none"/>
        </w:rPr>
        <w:t>目所</w:t>
      </w:r>
      <w:r>
        <w:rPr>
          <w:spacing w:val="-3"/>
          <w:sz w:val="21"/>
          <w:highlight w:val="none"/>
        </w:rPr>
        <w:t>指的投标保证金。</w:t>
      </w:r>
    </w:p>
    <w:p>
      <w:pPr>
        <w:pStyle w:val="5"/>
        <w:numPr>
          <w:ilvl w:val="1"/>
          <w:numId w:val="5"/>
        </w:numPr>
        <w:tabs>
          <w:tab w:val="left" w:pos="1027"/>
        </w:tabs>
        <w:spacing w:before="148"/>
        <w:ind w:hanging="489"/>
        <w:rPr>
          <w:highlight w:val="none"/>
        </w:rPr>
      </w:pPr>
      <w:bookmarkStart w:id="70" w:name="_bookmark39"/>
      <w:bookmarkEnd w:id="70"/>
      <w:bookmarkStart w:id="71" w:name="_Toc20282"/>
      <w:r>
        <w:rPr>
          <w:highlight w:val="none"/>
        </w:rPr>
        <w:t>投标报价</w:t>
      </w:r>
      <w:bookmarkEnd w:id="71"/>
    </w:p>
    <w:p>
      <w:pPr>
        <w:pStyle w:val="11"/>
        <w:spacing w:before="2"/>
        <w:rPr>
          <w:sz w:val="29"/>
          <w:highlight w:val="none"/>
        </w:rPr>
      </w:pPr>
    </w:p>
    <w:p>
      <w:pPr>
        <w:pStyle w:val="28"/>
        <w:numPr>
          <w:ilvl w:val="2"/>
          <w:numId w:val="5"/>
        </w:numPr>
        <w:tabs>
          <w:tab w:val="left" w:pos="1346"/>
        </w:tabs>
        <w:spacing w:line="357" w:lineRule="auto"/>
        <w:ind w:right="692" w:firstLine="420"/>
        <w:jc w:val="both"/>
        <w:rPr>
          <w:sz w:val="21"/>
          <w:highlight w:val="none"/>
        </w:rPr>
      </w:pPr>
      <w:r>
        <w:rPr>
          <w:spacing w:val="-7"/>
          <w:sz w:val="21"/>
          <w:highlight w:val="none"/>
        </w:rPr>
        <w:t>投标报价应包括国家规定的增值税税金，除投标人须知前附表另有规定外，增值税税金按一般计税方法计算。投标人应按第</w:t>
      </w:r>
      <w:r>
        <w:rPr>
          <w:rFonts w:hint="eastAsia"/>
          <w:spacing w:val="-7"/>
          <w:sz w:val="21"/>
          <w:highlight w:val="none"/>
          <w:lang w:val="en-US"/>
        </w:rPr>
        <w:t>六</w:t>
      </w:r>
      <w:r>
        <w:rPr>
          <w:spacing w:val="-7"/>
          <w:sz w:val="21"/>
          <w:highlight w:val="none"/>
        </w:rPr>
        <w:t>章</w:t>
      </w:r>
      <w:r>
        <w:rPr>
          <w:rFonts w:ascii="Times New Roman" w:hAnsi="Times New Roman" w:eastAsia="Times New Roman"/>
          <w:i/>
          <w:spacing w:val="-7"/>
          <w:sz w:val="21"/>
          <w:highlight w:val="none"/>
        </w:rPr>
        <w:t>“</w:t>
      </w:r>
      <w:r>
        <w:rPr>
          <w:spacing w:val="-7"/>
          <w:sz w:val="21"/>
          <w:highlight w:val="none"/>
        </w:rPr>
        <w:t>投标文件格式</w:t>
      </w:r>
      <w:r>
        <w:rPr>
          <w:rFonts w:ascii="Times New Roman" w:hAnsi="Times New Roman" w:eastAsia="Times New Roman"/>
          <w:i/>
          <w:spacing w:val="-7"/>
          <w:sz w:val="21"/>
          <w:highlight w:val="none"/>
        </w:rPr>
        <w:t>”</w:t>
      </w:r>
      <w:r>
        <w:rPr>
          <w:spacing w:val="-8"/>
          <w:sz w:val="21"/>
          <w:highlight w:val="none"/>
        </w:rPr>
        <w:t>的要求在投标函中进行报价并填写</w:t>
      </w:r>
      <w:r>
        <w:rPr>
          <w:spacing w:val="-2"/>
          <w:sz w:val="21"/>
          <w:highlight w:val="none"/>
        </w:rPr>
        <w:t>分项报价表。</w:t>
      </w:r>
    </w:p>
    <w:p>
      <w:pPr>
        <w:pStyle w:val="28"/>
        <w:numPr>
          <w:ilvl w:val="2"/>
          <w:numId w:val="5"/>
        </w:numPr>
        <w:tabs>
          <w:tab w:val="left" w:pos="1346"/>
        </w:tabs>
        <w:spacing w:line="266" w:lineRule="exact"/>
        <w:ind w:left="1346" w:hanging="526"/>
        <w:rPr>
          <w:sz w:val="21"/>
          <w:highlight w:val="none"/>
        </w:rPr>
      </w:pPr>
      <w:r>
        <w:rPr>
          <w:spacing w:val="-3"/>
          <w:sz w:val="21"/>
          <w:highlight w:val="none"/>
        </w:rPr>
        <w:t>投标人应充分了解该项目的总体情况以及影响投标报价的其他要素。</w:t>
      </w:r>
    </w:p>
    <w:p>
      <w:pPr>
        <w:pStyle w:val="28"/>
        <w:numPr>
          <w:ilvl w:val="2"/>
          <w:numId w:val="5"/>
        </w:numPr>
        <w:tabs>
          <w:tab w:val="left" w:pos="1294"/>
        </w:tabs>
        <w:spacing w:before="130" w:line="357" w:lineRule="auto"/>
        <w:ind w:right="693" w:firstLine="420"/>
        <w:jc w:val="both"/>
        <w:rPr>
          <w:sz w:val="21"/>
          <w:highlight w:val="none"/>
        </w:rPr>
      </w:pPr>
      <w:r>
        <w:rPr>
          <w:spacing w:val="-5"/>
          <w:sz w:val="21"/>
          <w:highlight w:val="none"/>
        </w:rPr>
        <w:t>投标报价为各分项报价金额之和，投标报价与分项报价的合价不一致的，应以各分项</w:t>
      </w:r>
      <w:r>
        <w:rPr>
          <w:spacing w:val="-6"/>
          <w:sz w:val="21"/>
          <w:highlight w:val="none"/>
        </w:rPr>
        <w:t>合价累计数为准，修正投标报价；如分项报价中存在缺漏项，则视为缺漏项价格已包含在其他</w:t>
      </w:r>
      <w:r>
        <w:rPr>
          <w:spacing w:val="-4"/>
          <w:sz w:val="21"/>
          <w:highlight w:val="none"/>
        </w:rPr>
        <w:t>分项报价之中。投标人在投标截止时间前修改投标函中的投标报价总额，应同时修改投标文件</w:t>
      </w:r>
    </w:p>
    <w:p>
      <w:pPr>
        <w:pStyle w:val="11"/>
        <w:spacing w:line="267" w:lineRule="exact"/>
        <w:ind w:left="400"/>
        <w:rPr>
          <w:highlight w:val="none"/>
        </w:rPr>
      </w:pPr>
      <w:r>
        <w:rPr>
          <w:rFonts w:ascii="Times New Roman" w:hAnsi="Times New Roman" w:eastAsia="Times New Roman"/>
          <w:i/>
          <w:highlight w:val="none"/>
        </w:rPr>
        <w:t>“</w:t>
      </w:r>
      <w:r>
        <w:rPr>
          <w:highlight w:val="none"/>
        </w:rPr>
        <w:t>分项报价表</w:t>
      </w:r>
      <w:r>
        <w:rPr>
          <w:rFonts w:ascii="Times New Roman" w:hAnsi="Times New Roman" w:eastAsia="Times New Roman"/>
          <w:i/>
          <w:highlight w:val="none"/>
        </w:rPr>
        <w:t>”</w:t>
      </w:r>
      <w:r>
        <w:rPr>
          <w:highlight w:val="none"/>
        </w:rPr>
        <w:t xml:space="preserve">中的相应报价。此修改须符合本章第 </w:t>
      </w:r>
      <w:r>
        <w:rPr>
          <w:rFonts w:ascii="Times New Roman" w:hAnsi="Times New Roman" w:eastAsia="Times New Roman"/>
          <w:highlight w:val="none"/>
        </w:rPr>
        <w:t xml:space="preserve">4.3 </w:t>
      </w:r>
      <w:r>
        <w:rPr>
          <w:highlight w:val="none"/>
        </w:rPr>
        <w:t>款的有关要求。</w:t>
      </w:r>
    </w:p>
    <w:p>
      <w:pPr>
        <w:pStyle w:val="28"/>
        <w:numPr>
          <w:ilvl w:val="2"/>
          <w:numId w:val="5"/>
        </w:numPr>
        <w:tabs>
          <w:tab w:val="left" w:pos="1346"/>
        </w:tabs>
        <w:spacing w:before="132" w:line="357" w:lineRule="auto"/>
        <w:ind w:right="693" w:firstLine="420"/>
        <w:jc w:val="both"/>
        <w:rPr>
          <w:sz w:val="21"/>
          <w:highlight w:val="none"/>
        </w:rPr>
      </w:pPr>
      <w:r>
        <w:rPr>
          <w:spacing w:val="-8"/>
          <w:sz w:val="21"/>
          <w:highlight w:val="none"/>
        </w:rPr>
        <w:t>招标人设有最高投标限价的，投标人的投标报价不得超过最高投标限价，最高投标限</w:t>
      </w:r>
      <w:r>
        <w:rPr>
          <w:spacing w:val="-5"/>
          <w:sz w:val="21"/>
          <w:highlight w:val="none"/>
        </w:rPr>
        <w:t>价在投标人须知前附表中载明。</w:t>
      </w:r>
    </w:p>
    <w:p>
      <w:pPr>
        <w:pStyle w:val="28"/>
        <w:numPr>
          <w:ilvl w:val="2"/>
          <w:numId w:val="5"/>
        </w:numPr>
        <w:tabs>
          <w:tab w:val="left" w:pos="1346"/>
        </w:tabs>
        <w:spacing w:line="266" w:lineRule="exact"/>
        <w:ind w:left="1346" w:hanging="526"/>
        <w:rPr>
          <w:sz w:val="21"/>
          <w:highlight w:val="none"/>
        </w:rPr>
      </w:pPr>
      <w:r>
        <w:rPr>
          <w:spacing w:val="-3"/>
          <w:sz w:val="21"/>
          <w:highlight w:val="none"/>
        </w:rPr>
        <w:t>投标报价的其他要求见投标人须知前附表。</w:t>
      </w:r>
    </w:p>
    <w:p>
      <w:pPr>
        <w:pStyle w:val="11"/>
        <w:rPr>
          <w:sz w:val="22"/>
          <w:highlight w:val="none"/>
        </w:rPr>
      </w:pPr>
    </w:p>
    <w:p>
      <w:pPr>
        <w:pStyle w:val="5"/>
        <w:numPr>
          <w:ilvl w:val="1"/>
          <w:numId w:val="5"/>
        </w:numPr>
        <w:tabs>
          <w:tab w:val="left" w:pos="1027"/>
        </w:tabs>
        <w:ind w:hanging="489"/>
        <w:rPr>
          <w:highlight w:val="none"/>
        </w:rPr>
      </w:pPr>
      <w:bookmarkStart w:id="72" w:name="_bookmark40"/>
      <w:bookmarkEnd w:id="72"/>
      <w:bookmarkStart w:id="73" w:name="_Toc24158"/>
      <w:r>
        <w:rPr>
          <w:highlight w:val="none"/>
        </w:rPr>
        <w:t>投标有效期</w:t>
      </w:r>
      <w:bookmarkEnd w:id="73"/>
    </w:p>
    <w:p>
      <w:pPr>
        <w:pStyle w:val="11"/>
        <w:spacing w:before="3"/>
        <w:rPr>
          <w:sz w:val="29"/>
          <w:highlight w:val="none"/>
        </w:rPr>
      </w:pPr>
    </w:p>
    <w:p>
      <w:pPr>
        <w:pStyle w:val="28"/>
        <w:numPr>
          <w:ilvl w:val="2"/>
          <w:numId w:val="5"/>
        </w:numPr>
        <w:tabs>
          <w:tab w:val="left" w:pos="1346"/>
        </w:tabs>
        <w:ind w:left="1346" w:hanging="526"/>
        <w:rPr>
          <w:sz w:val="21"/>
          <w:highlight w:val="none"/>
        </w:rPr>
      </w:pPr>
      <w:r>
        <w:rPr>
          <w:spacing w:val="-6"/>
          <w:sz w:val="21"/>
          <w:highlight w:val="none"/>
        </w:rPr>
        <w:t xml:space="preserve">除投标人须知前附表另有规定外，投标有效期为 </w:t>
      </w:r>
      <w:r>
        <w:rPr>
          <w:rFonts w:ascii="Times New Roman" w:eastAsia="Times New Roman"/>
          <w:sz w:val="21"/>
          <w:highlight w:val="none"/>
        </w:rPr>
        <w:t>90</w:t>
      </w:r>
      <w:r>
        <w:rPr>
          <w:rFonts w:ascii="Times New Roman" w:eastAsia="Times New Roman"/>
          <w:spacing w:val="-3"/>
          <w:sz w:val="21"/>
          <w:highlight w:val="none"/>
        </w:rPr>
        <w:t xml:space="preserve"> </w:t>
      </w:r>
      <w:r>
        <w:rPr>
          <w:sz w:val="21"/>
          <w:highlight w:val="none"/>
        </w:rPr>
        <w:t>天。</w:t>
      </w:r>
    </w:p>
    <w:p>
      <w:pPr>
        <w:pStyle w:val="28"/>
        <w:numPr>
          <w:ilvl w:val="2"/>
          <w:numId w:val="5"/>
        </w:numPr>
        <w:tabs>
          <w:tab w:val="left" w:pos="1346"/>
        </w:tabs>
        <w:spacing w:before="132"/>
        <w:ind w:left="1346" w:hanging="526"/>
        <w:rPr>
          <w:sz w:val="21"/>
          <w:highlight w:val="none"/>
        </w:rPr>
      </w:pPr>
      <w:r>
        <w:rPr>
          <w:spacing w:val="-3"/>
          <w:sz w:val="21"/>
          <w:highlight w:val="none"/>
        </w:rPr>
        <w:t>在投标有效期内，投标人撤销投标文件的，应承担招标文件和法律规定的责任。</w:t>
      </w:r>
    </w:p>
    <w:p>
      <w:pPr>
        <w:pStyle w:val="28"/>
        <w:numPr>
          <w:ilvl w:val="2"/>
          <w:numId w:val="5"/>
        </w:numPr>
        <w:tabs>
          <w:tab w:val="left" w:pos="1346"/>
        </w:tabs>
        <w:spacing w:before="129" w:line="357" w:lineRule="auto"/>
        <w:ind w:right="691" w:firstLine="420"/>
        <w:jc w:val="both"/>
        <w:rPr>
          <w:sz w:val="21"/>
          <w:highlight w:val="none"/>
        </w:rPr>
      </w:pPr>
      <w:r>
        <w:rPr>
          <w:spacing w:val="-8"/>
          <w:sz w:val="21"/>
          <w:highlight w:val="none"/>
        </w:rPr>
        <w:t>出现特殊情况需要延长投标有效期的，招标人以书面形式通知所有投标人延长投标有效期。投标人应予以书面答复，同意延长的，应相应延长其投标保证金的有效期，但不得要求</w:t>
      </w:r>
      <w:r>
        <w:rPr>
          <w:spacing w:val="-9"/>
          <w:sz w:val="21"/>
          <w:highlight w:val="none"/>
        </w:rPr>
        <w:t>或被允许修改其投标文件；投标人拒绝延长的，其投标失效，但投标人有权收回其投标保证金</w:t>
      </w:r>
      <w:r>
        <w:rPr>
          <w:spacing w:val="-3"/>
          <w:sz w:val="21"/>
          <w:highlight w:val="none"/>
        </w:rPr>
        <w:t>。</w:t>
      </w:r>
    </w:p>
    <w:p>
      <w:pPr>
        <w:pStyle w:val="5"/>
        <w:numPr>
          <w:ilvl w:val="1"/>
          <w:numId w:val="5"/>
        </w:numPr>
        <w:tabs>
          <w:tab w:val="left" w:pos="1027"/>
        </w:tabs>
        <w:spacing w:before="148"/>
        <w:ind w:hanging="489"/>
        <w:rPr>
          <w:highlight w:val="none"/>
        </w:rPr>
      </w:pPr>
      <w:bookmarkStart w:id="74" w:name="_bookmark41"/>
      <w:bookmarkEnd w:id="74"/>
      <w:bookmarkStart w:id="75" w:name="_Toc18315"/>
      <w:r>
        <w:rPr>
          <w:highlight w:val="none"/>
        </w:rPr>
        <w:t>投标保证金</w:t>
      </w:r>
      <w:bookmarkEnd w:id="75"/>
    </w:p>
    <w:p>
      <w:pPr>
        <w:pStyle w:val="11"/>
        <w:spacing w:before="2"/>
        <w:rPr>
          <w:sz w:val="29"/>
          <w:highlight w:val="none"/>
        </w:rPr>
      </w:pPr>
    </w:p>
    <w:p>
      <w:pPr>
        <w:pStyle w:val="28"/>
        <w:numPr>
          <w:ilvl w:val="2"/>
          <w:numId w:val="5"/>
        </w:numPr>
        <w:tabs>
          <w:tab w:val="left" w:pos="1346"/>
        </w:tabs>
        <w:ind w:left="1346" w:hanging="526"/>
        <w:rPr>
          <w:sz w:val="21"/>
          <w:highlight w:val="none"/>
        </w:rPr>
      </w:pPr>
      <w:r>
        <w:rPr>
          <w:spacing w:val="-12"/>
          <w:sz w:val="21"/>
          <w:highlight w:val="none"/>
        </w:rPr>
        <w:t>投标人在递交投标文件的同时，应按投标人须知前附表规定的金额、形式和第六章</w:t>
      </w:r>
      <w:r>
        <w:rPr>
          <w:rFonts w:ascii="Times New Roman" w:hAnsi="Times New Roman" w:eastAsia="Times New Roman"/>
          <w:i/>
          <w:sz w:val="21"/>
          <w:highlight w:val="none"/>
        </w:rPr>
        <w:t>“</w:t>
      </w:r>
      <w:r>
        <w:rPr>
          <w:sz w:val="21"/>
          <w:highlight w:val="none"/>
        </w:rPr>
        <w:t>投</w:t>
      </w:r>
    </w:p>
    <w:p>
      <w:pPr>
        <w:rPr>
          <w:sz w:val="21"/>
          <w:highlight w:val="none"/>
        </w:rPr>
        <w:sectPr>
          <w:pgSz w:w="12240" w:h="15840"/>
          <w:pgMar w:top="1500" w:right="1100" w:bottom="1120" w:left="1400" w:header="0" w:footer="841" w:gutter="0"/>
          <w:cols w:space="720" w:num="1"/>
        </w:sectPr>
      </w:pPr>
    </w:p>
    <w:p>
      <w:pPr>
        <w:pStyle w:val="11"/>
        <w:spacing w:before="49" w:line="357" w:lineRule="auto"/>
        <w:ind w:left="400" w:right="693"/>
        <w:jc w:val="both"/>
        <w:rPr>
          <w:highlight w:val="none"/>
        </w:rPr>
      </w:pPr>
      <w:r>
        <w:rPr>
          <w:spacing w:val="-2"/>
          <w:highlight w:val="none"/>
        </w:rPr>
        <w:t>标文件格式</w:t>
      </w:r>
      <w:r>
        <w:rPr>
          <w:rFonts w:ascii="Times New Roman" w:hAnsi="Times New Roman" w:eastAsia="Times New Roman"/>
          <w:i/>
          <w:highlight w:val="none"/>
        </w:rPr>
        <w:t>”</w:t>
      </w:r>
      <w:r>
        <w:rPr>
          <w:spacing w:val="-6"/>
          <w:highlight w:val="none"/>
        </w:rPr>
        <w:t>规定的投标保证金格式递交投标保证金，并作为其投标文件的组成部分。境内投标</w:t>
      </w:r>
      <w:r>
        <w:rPr>
          <w:spacing w:val="-7"/>
          <w:highlight w:val="none"/>
        </w:rPr>
        <w:t>人以现金或者支票形式提交的投标保证金，应当从</w:t>
      </w:r>
      <w:r>
        <w:rPr>
          <w:rFonts w:hint="eastAsia"/>
          <w:spacing w:val="-7"/>
          <w:highlight w:val="none"/>
        </w:rPr>
        <w:t>投标人银行</w:t>
      </w:r>
      <w:r>
        <w:rPr>
          <w:spacing w:val="-7"/>
          <w:highlight w:val="none"/>
        </w:rPr>
        <w:t>账户转出</w:t>
      </w:r>
      <w:r>
        <w:rPr>
          <w:spacing w:val="-4"/>
          <w:highlight w:val="none"/>
        </w:rPr>
        <w:t>。联合体投标的，其投标保证金可以由牵头人递交，并应符合投标人须知前附表的</w:t>
      </w:r>
      <w:r>
        <w:rPr>
          <w:highlight w:val="none"/>
        </w:rPr>
        <w:t>规定。</w:t>
      </w:r>
    </w:p>
    <w:p>
      <w:pPr>
        <w:pStyle w:val="28"/>
        <w:numPr>
          <w:ilvl w:val="2"/>
          <w:numId w:val="5"/>
        </w:numPr>
        <w:tabs>
          <w:tab w:val="left" w:pos="1346"/>
        </w:tabs>
        <w:spacing w:line="266" w:lineRule="exact"/>
        <w:ind w:left="1346" w:hanging="526"/>
        <w:rPr>
          <w:sz w:val="21"/>
          <w:highlight w:val="none"/>
        </w:rPr>
      </w:pPr>
      <w:r>
        <w:rPr>
          <w:spacing w:val="-9"/>
          <w:sz w:val="21"/>
          <w:highlight w:val="none"/>
        </w:rPr>
        <w:t xml:space="preserve">投标人不按本章第 </w:t>
      </w:r>
      <w:r>
        <w:rPr>
          <w:rFonts w:ascii="Times New Roman" w:eastAsia="Times New Roman"/>
          <w:sz w:val="21"/>
          <w:highlight w:val="none"/>
        </w:rPr>
        <w:t>3.4.1</w:t>
      </w:r>
      <w:r>
        <w:rPr>
          <w:rFonts w:ascii="Times New Roman" w:eastAsia="Times New Roman"/>
          <w:spacing w:val="2"/>
          <w:sz w:val="21"/>
          <w:highlight w:val="none"/>
        </w:rPr>
        <w:t xml:space="preserve"> </w:t>
      </w:r>
      <w:r>
        <w:rPr>
          <w:spacing w:val="-3"/>
          <w:sz w:val="21"/>
          <w:highlight w:val="none"/>
        </w:rPr>
        <w:t>项要求提交投标保证金的，评标委员会将否决其投标。</w:t>
      </w:r>
    </w:p>
    <w:p>
      <w:pPr>
        <w:pStyle w:val="28"/>
        <w:numPr>
          <w:ilvl w:val="2"/>
          <w:numId w:val="5"/>
        </w:numPr>
        <w:tabs>
          <w:tab w:val="left" w:pos="1346"/>
        </w:tabs>
        <w:spacing w:before="130" w:line="357" w:lineRule="auto"/>
        <w:ind w:right="691" w:firstLine="420"/>
        <w:jc w:val="both"/>
        <w:rPr>
          <w:sz w:val="21"/>
          <w:highlight w:val="none"/>
        </w:rPr>
      </w:pPr>
      <w:r>
        <w:rPr>
          <w:spacing w:val="-5"/>
          <w:sz w:val="21"/>
          <w:highlight w:val="none"/>
        </w:rPr>
        <w:t xml:space="preserve">招标人最迟将在与中标人签订合同后 </w:t>
      </w:r>
      <w:r>
        <w:rPr>
          <w:rFonts w:ascii="Times New Roman" w:eastAsia="Times New Roman"/>
          <w:sz w:val="21"/>
          <w:highlight w:val="none"/>
        </w:rPr>
        <w:t>5</w:t>
      </w:r>
      <w:r>
        <w:rPr>
          <w:rFonts w:ascii="Times New Roman" w:eastAsia="Times New Roman"/>
          <w:spacing w:val="18"/>
          <w:sz w:val="21"/>
          <w:highlight w:val="none"/>
        </w:rPr>
        <w:t xml:space="preserve"> </w:t>
      </w:r>
      <w:r>
        <w:rPr>
          <w:spacing w:val="-11"/>
          <w:sz w:val="21"/>
          <w:highlight w:val="none"/>
        </w:rPr>
        <w:t>日内，向未中标的投标人和中标人退还投标保</w:t>
      </w:r>
      <w:r>
        <w:rPr>
          <w:spacing w:val="-6"/>
          <w:sz w:val="21"/>
          <w:highlight w:val="none"/>
        </w:rPr>
        <w:t>证金。</w:t>
      </w:r>
    </w:p>
    <w:p>
      <w:pPr>
        <w:pStyle w:val="28"/>
        <w:numPr>
          <w:ilvl w:val="2"/>
          <w:numId w:val="5"/>
        </w:numPr>
        <w:tabs>
          <w:tab w:val="left" w:pos="1346"/>
        </w:tabs>
        <w:ind w:left="1346" w:hanging="526"/>
        <w:rPr>
          <w:sz w:val="21"/>
          <w:highlight w:val="none"/>
        </w:rPr>
      </w:pPr>
      <w:r>
        <w:rPr>
          <w:spacing w:val="-3"/>
          <w:sz w:val="21"/>
          <w:highlight w:val="none"/>
        </w:rPr>
        <w:t>有下列情形之一的，投标保证金将不予退还：</w:t>
      </w:r>
    </w:p>
    <w:p>
      <w:pPr>
        <w:pStyle w:val="28"/>
        <w:numPr>
          <w:ilvl w:val="0"/>
          <w:numId w:val="10"/>
        </w:numPr>
        <w:tabs>
          <w:tab w:val="left" w:pos="1244"/>
        </w:tabs>
        <w:spacing w:before="129"/>
        <w:rPr>
          <w:sz w:val="21"/>
          <w:highlight w:val="none"/>
        </w:rPr>
      </w:pPr>
      <w:r>
        <w:rPr>
          <w:spacing w:val="-3"/>
          <w:sz w:val="21"/>
          <w:highlight w:val="none"/>
        </w:rPr>
        <w:t>投标人在投标有效期内撤销投标文件；</w:t>
      </w:r>
    </w:p>
    <w:p>
      <w:pPr>
        <w:pStyle w:val="28"/>
        <w:numPr>
          <w:ilvl w:val="0"/>
          <w:numId w:val="10"/>
        </w:numPr>
        <w:tabs>
          <w:tab w:val="left" w:pos="1244"/>
        </w:tabs>
        <w:spacing w:before="132" w:line="357" w:lineRule="auto"/>
        <w:ind w:left="400" w:right="694" w:firstLine="314"/>
        <w:rPr>
          <w:sz w:val="21"/>
          <w:highlight w:val="none"/>
        </w:rPr>
      </w:pPr>
      <w:r>
        <w:rPr>
          <w:spacing w:val="-4"/>
          <w:sz w:val="21"/>
          <w:highlight w:val="none"/>
        </w:rPr>
        <w:t>中标人在收到中标通知书后，无正当理由不与招标人订立合同，在签订合同时向招标</w:t>
      </w:r>
      <w:r>
        <w:rPr>
          <w:spacing w:val="-3"/>
          <w:sz w:val="21"/>
          <w:highlight w:val="none"/>
        </w:rPr>
        <w:t>人提出附加条件，或者不按照招标文件要求提交履约保证金；</w:t>
      </w:r>
    </w:p>
    <w:p>
      <w:pPr>
        <w:pStyle w:val="28"/>
        <w:numPr>
          <w:ilvl w:val="0"/>
          <w:numId w:val="10"/>
        </w:numPr>
        <w:tabs>
          <w:tab w:val="left" w:pos="1244"/>
        </w:tabs>
        <w:spacing w:before="132" w:line="357" w:lineRule="auto"/>
        <w:ind w:left="400" w:right="694" w:firstLine="314"/>
        <w:rPr>
          <w:sz w:val="21"/>
          <w:highlight w:val="none"/>
        </w:rPr>
      </w:pPr>
      <w:r>
        <w:rPr>
          <w:rFonts w:hint="eastAsia"/>
          <w:sz w:val="21"/>
          <w:highlight w:val="none"/>
        </w:rPr>
        <w:t>投标人提交了虚假资料；</w:t>
      </w:r>
    </w:p>
    <w:p>
      <w:pPr>
        <w:pStyle w:val="28"/>
        <w:numPr>
          <w:ilvl w:val="0"/>
          <w:numId w:val="10"/>
        </w:numPr>
        <w:tabs>
          <w:tab w:val="left" w:pos="1244"/>
        </w:tabs>
        <w:spacing w:before="132" w:line="357" w:lineRule="auto"/>
        <w:ind w:left="400" w:right="694" w:firstLine="314"/>
        <w:rPr>
          <w:sz w:val="21"/>
          <w:highlight w:val="none"/>
        </w:rPr>
      </w:pPr>
      <w:r>
        <w:rPr>
          <w:rFonts w:hint="eastAsia"/>
          <w:sz w:val="21"/>
          <w:highlight w:val="none"/>
        </w:rPr>
        <w:t>经交通运输主管部门调查核实后，确认投标人的投诉为恶意举报的行为。</w:t>
      </w:r>
    </w:p>
    <w:p>
      <w:pPr>
        <w:pStyle w:val="28"/>
        <w:numPr>
          <w:ilvl w:val="0"/>
          <w:numId w:val="10"/>
        </w:numPr>
        <w:tabs>
          <w:tab w:val="left" w:pos="1244"/>
        </w:tabs>
        <w:spacing w:line="266" w:lineRule="exact"/>
        <w:rPr>
          <w:sz w:val="21"/>
          <w:highlight w:val="none"/>
        </w:rPr>
      </w:pPr>
      <w:r>
        <w:rPr>
          <w:spacing w:val="-3"/>
          <w:sz w:val="21"/>
          <w:highlight w:val="none"/>
        </w:rPr>
        <w:t>发生投标人须知前附表规定的其他可以不予退还投标保证金的情形。</w:t>
      </w:r>
    </w:p>
    <w:p>
      <w:pPr>
        <w:pStyle w:val="11"/>
        <w:spacing w:before="1"/>
        <w:rPr>
          <w:sz w:val="22"/>
          <w:highlight w:val="none"/>
        </w:rPr>
      </w:pPr>
    </w:p>
    <w:p>
      <w:pPr>
        <w:pStyle w:val="5"/>
        <w:numPr>
          <w:ilvl w:val="1"/>
          <w:numId w:val="11"/>
        </w:numPr>
        <w:tabs>
          <w:tab w:val="left" w:pos="1027"/>
        </w:tabs>
        <w:spacing w:before="148"/>
        <w:ind w:hanging="489"/>
        <w:rPr>
          <w:highlight w:val="none"/>
        </w:rPr>
      </w:pPr>
      <w:bookmarkStart w:id="76" w:name="_bookmark43"/>
      <w:bookmarkEnd w:id="76"/>
      <w:bookmarkStart w:id="77" w:name="_Toc4968"/>
      <w:r>
        <w:rPr>
          <w:spacing w:val="-1"/>
          <w:highlight w:val="none"/>
        </w:rPr>
        <w:t>资格审查资料</w:t>
      </w:r>
      <w:bookmarkEnd w:id="77"/>
    </w:p>
    <w:p>
      <w:pPr>
        <w:pStyle w:val="11"/>
        <w:spacing w:before="2"/>
        <w:rPr>
          <w:sz w:val="29"/>
          <w:highlight w:val="none"/>
        </w:rPr>
      </w:pPr>
    </w:p>
    <w:p>
      <w:pPr>
        <w:pStyle w:val="11"/>
        <w:spacing w:line="357" w:lineRule="auto"/>
        <w:ind w:left="400" w:right="694" w:firstLine="419"/>
        <w:jc w:val="both"/>
        <w:rPr>
          <w:highlight w:val="none"/>
        </w:rPr>
      </w:pPr>
      <w:r>
        <w:rPr>
          <w:rFonts w:hint="eastAsia"/>
          <w:highlight w:val="none"/>
        </w:rPr>
        <w:t>本次招标选择资格候审</w:t>
      </w:r>
      <w:r>
        <w:rPr>
          <w:highlight w:val="none"/>
        </w:rPr>
        <w:t xml:space="preserve">，投标人应按下列规定提供资格审查资料，以证明其满足本章第 </w:t>
      </w:r>
      <w:r>
        <w:rPr>
          <w:rFonts w:ascii="Times New Roman" w:eastAsia="Times New Roman"/>
          <w:highlight w:val="none"/>
        </w:rPr>
        <w:t xml:space="preserve">1.4 </w:t>
      </w:r>
      <w:r>
        <w:rPr>
          <w:highlight w:val="none"/>
        </w:rPr>
        <w:t>款规定的资质、财务、业绩等要求。</w:t>
      </w:r>
    </w:p>
    <w:p>
      <w:pPr>
        <w:pStyle w:val="11"/>
        <w:spacing w:line="357" w:lineRule="auto"/>
        <w:ind w:left="400" w:right="691" w:firstLine="419"/>
        <w:jc w:val="both"/>
        <w:rPr>
          <w:highlight w:val="none"/>
        </w:rPr>
      </w:pPr>
      <w:r>
        <w:rPr>
          <w:rFonts w:ascii="Times New Roman" w:hAnsi="Times New Roman" w:eastAsia="Times New Roman"/>
          <w:highlight w:val="none"/>
        </w:rPr>
        <w:t xml:space="preserve">3.5.1 </w:t>
      </w:r>
      <w:r>
        <w:rPr>
          <w:rFonts w:ascii="Times New Roman" w:hAnsi="Times New Roman" w:eastAsia="Times New Roman"/>
          <w:i/>
          <w:highlight w:val="none"/>
        </w:rPr>
        <w:t>“</w:t>
      </w:r>
      <w:r>
        <w:rPr>
          <w:spacing w:val="-3"/>
          <w:highlight w:val="none"/>
        </w:rPr>
        <w:t>投标人基本情况表</w:t>
      </w:r>
      <w:r>
        <w:rPr>
          <w:rFonts w:ascii="Times New Roman" w:hAnsi="Times New Roman" w:eastAsia="Times New Roman"/>
          <w:i/>
          <w:spacing w:val="-3"/>
          <w:highlight w:val="none"/>
        </w:rPr>
        <w:t>”</w:t>
      </w:r>
      <w:r>
        <w:rPr>
          <w:spacing w:val="-3"/>
          <w:highlight w:val="none"/>
        </w:rPr>
        <w:t>应附投标人</w:t>
      </w:r>
      <w:r>
        <w:rPr>
          <w:spacing w:val="-2"/>
          <w:highlight w:val="none"/>
        </w:rPr>
        <w:t>资格或</w:t>
      </w:r>
      <w:r>
        <w:rPr>
          <w:spacing w:val="-3"/>
          <w:highlight w:val="none"/>
        </w:rPr>
        <w:t>者资质证书副本和投标材料检验或认证等材料的复印件以及：</w:t>
      </w:r>
    </w:p>
    <w:p>
      <w:pPr>
        <w:pStyle w:val="28"/>
        <w:numPr>
          <w:ilvl w:val="2"/>
          <w:numId w:val="11"/>
        </w:numPr>
        <w:tabs>
          <w:tab w:val="left" w:pos="1350"/>
        </w:tabs>
        <w:spacing w:line="355" w:lineRule="auto"/>
        <w:ind w:right="693" w:firstLine="420"/>
        <w:jc w:val="both"/>
        <w:rPr>
          <w:sz w:val="21"/>
          <w:highlight w:val="none"/>
        </w:rPr>
      </w:pPr>
      <w:r>
        <w:rPr>
          <w:spacing w:val="-11"/>
          <w:sz w:val="21"/>
          <w:highlight w:val="none"/>
        </w:rPr>
        <w:t>投标人为企业的，应提交营业执照和组织机构代码证的复印件</w:t>
      </w:r>
      <w:r>
        <w:rPr>
          <w:spacing w:val="-3"/>
          <w:sz w:val="21"/>
          <w:highlight w:val="none"/>
        </w:rPr>
        <w:t>（</w:t>
      </w:r>
      <w:r>
        <w:rPr>
          <w:sz w:val="21"/>
          <w:highlight w:val="none"/>
        </w:rPr>
        <w:t>按照</w:t>
      </w:r>
      <w:r>
        <w:rPr>
          <w:rFonts w:ascii="Times New Roman" w:hAnsi="Times New Roman" w:eastAsia="Times New Roman"/>
          <w:i/>
          <w:spacing w:val="-3"/>
          <w:sz w:val="21"/>
          <w:highlight w:val="none"/>
        </w:rPr>
        <w:t>“</w:t>
      </w:r>
      <w:r>
        <w:rPr>
          <w:spacing w:val="-2"/>
          <w:sz w:val="21"/>
          <w:highlight w:val="none"/>
        </w:rPr>
        <w:t>三证合一</w:t>
      </w:r>
      <w:r>
        <w:rPr>
          <w:rFonts w:ascii="Times New Roman" w:hAnsi="Times New Roman" w:eastAsia="Times New Roman"/>
          <w:i/>
          <w:sz w:val="21"/>
          <w:highlight w:val="none"/>
        </w:rPr>
        <w:t>”</w:t>
      </w:r>
      <w:r>
        <w:rPr>
          <w:sz w:val="21"/>
          <w:highlight w:val="none"/>
        </w:rPr>
        <w:t>或</w:t>
      </w:r>
      <w:r>
        <w:rPr>
          <w:rFonts w:ascii="Times New Roman" w:hAnsi="Times New Roman" w:eastAsia="Times New Roman"/>
          <w:i/>
          <w:spacing w:val="-3"/>
          <w:sz w:val="21"/>
          <w:highlight w:val="none"/>
        </w:rPr>
        <w:t xml:space="preserve">“ </w:t>
      </w:r>
      <w:r>
        <w:rPr>
          <w:spacing w:val="-1"/>
          <w:sz w:val="21"/>
          <w:highlight w:val="none"/>
        </w:rPr>
        <w:t>五证合一</w:t>
      </w:r>
      <w:r>
        <w:rPr>
          <w:rFonts w:ascii="Times New Roman" w:hAnsi="Times New Roman" w:eastAsia="Times New Roman"/>
          <w:i/>
          <w:spacing w:val="-1"/>
          <w:w w:val="80"/>
          <w:sz w:val="21"/>
          <w:highlight w:val="none"/>
        </w:rPr>
        <w:t>”</w:t>
      </w:r>
      <w:r>
        <w:rPr>
          <w:spacing w:val="-3"/>
          <w:sz w:val="21"/>
          <w:highlight w:val="none"/>
        </w:rPr>
        <w:t>登记制度进行登记的，可仅提供营业执照复印件</w:t>
      </w:r>
      <w:r>
        <w:rPr>
          <w:spacing w:val="-108"/>
          <w:sz w:val="21"/>
          <w:highlight w:val="none"/>
        </w:rPr>
        <w:t>）</w:t>
      </w:r>
      <w:r>
        <w:rPr>
          <w:sz w:val="21"/>
          <w:highlight w:val="none"/>
        </w:rPr>
        <w:t>；</w:t>
      </w:r>
    </w:p>
    <w:p>
      <w:pPr>
        <w:pStyle w:val="28"/>
        <w:numPr>
          <w:ilvl w:val="2"/>
          <w:numId w:val="11"/>
        </w:numPr>
        <w:tabs>
          <w:tab w:val="left" w:pos="1350"/>
        </w:tabs>
        <w:spacing w:before="1" w:line="357" w:lineRule="auto"/>
        <w:ind w:right="691" w:firstLine="420"/>
        <w:jc w:val="both"/>
        <w:rPr>
          <w:sz w:val="21"/>
          <w:highlight w:val="none"/>
        </w:rPr>
      </w:pPr>
      <w:r>
        <w:rPr>
          <w:spacing w:val="-6"/>
          <w:sz w:val="21"/>
          <w:highlight w:val="none"/>
        </w:rPr>
        <w:t>投标人为依法允许经营的事业单位的，应提交事业单位法人证书和组织机构代码证</w:t>
      </w:r>
      <w:r>
        <w:rPr>
          <w:spacing w:val="-1"/>
          <w:sz w:val="21"/>
          <w:highlight w:val="none"/>
        </w:rPr>
        <w:t>的复印件。</w:t>
      </w:r>
    </w:p>
    <w:p>
      <w:pPr>
        <w:pStyle w:val="28"/>
        <w:numPr>
          <w:ilvl w:val="2"/>
          <w:numId w:val="12"/>
        </w:numPr>
        <w:tabs>
          <w:tab w:val="left" w:pos="1296"/>
        </w:tabs>
        <w:spacing w:line="357" w:lineRule="auto"/>
        <w:ind w:right="691" w:firstLine="420"/>
        <w:jc w:val="both"/>
        <w:rPr>
          <w:sz w:val="21"/>
          <w:highlight w:val="none"/>
        </w:rPr>
      </w:pPr>
      <w:r>
        <w:rPr>
          <w:rFonts w:ascii="Times New Roman" w:hAnsi="Times New Roman" w:eastAsia="Times New Roman"/>
          <w:i/>
          <w:sz w:val="21"/>
          <w:highlight w:val="none"/>
        </w:rPr>
        <w:t>“</w:t>
      </w:r>
      <w:r>
        <w:rPr>
          <w:spacing w:val="-3"/>
          <w:sz w:val="21"/>
          <w:highlight w:val="none"/>
        </w:rPr>
        <w:t>近年财务状况表</w:t>
      </w:r>
      <w:r>
        <w:rPr>
          <w:rFonts w:ascii="Times New Roman" w:hAnsi="Times New Roman" w:eastAsia="Times New Roman"/>
          <w:i/>
          <w:spacing w:val="-3"/>
          <w:sz w:val="21"/>
          <w:highlight w:val="none"/>
        </w:rPr>
        <w:t>”</w:t>
      </w:r>
      <w:r>
        <w:rPr>
          <w:spacing w:val="-3"/>
          <w:sz w:val="21"/>
          <w:highlight w:val="none"/>
        </w:rPr>
        <w:t>应附经会计师事务所或审计机构审计的财务会计报表，包括资产负债表、现金流量表、利润表和财务情况说明书的复印件，具体年份要求见投标人须知前附表。投标人的成立时间少于投标人须知前附表规定年份的，应提供成立以来的财务状况表。</w:t>
      </w:r>
    </w:p>
    <w:p>
      <w:pPr>
        <w:pStyle w:val="11"/>
        <w:spacing w:before="49" w:line="360" w:lineRule="auto"/>
        <w:ind w:left="418" w:leftChars="190"/>
        <w:rPr>
          <w:highlight w:val="none"/>
        </w:rPr>
      </w:pPr>
      <w:r>
        <w:rPr>
          <w:rFonts w:ascii="Times New Roman" w:hAnsi="Times New Roman" w:eastAsia="Times New Roman"/>
          <w:i/>
          <w:highlight w:val="none"/>
        </w:rPr>
        <w:t>“</w:t>
      </w:r>
      <w:r>
        <w:rPr>
          <w:spacing w:val="-3"/>
          <w:highlight w:val="none"/>
        </w:rPr>
        <w:t>近年完成的类似项目情况表</w:t>
      </w:r>
      <w:r>
        <w:rPr>
          <w:rFonts w:ascii="Times New Roman" w:hAnsi="Times New Roman" w:eastAsia="Times New Roman"/>
          <w:i/>
          <w:spacing w:val="-3"/>
          <w:highlight w:val="none"/>
        </w:rPr>
        <w:t>”</w:t>
      </w:r>
      <w:r>
        <w:rPr>
          <w:spacing w:val="-3"/>
          <w:highlight w:val="none"/>
        </w:rPr>
        <w:t>应附中标通知书和</w:t>
      </w:r>
      <w:r>
        <w:rPr>
          <w:highlight w:val="none"/>
        </w:rPr>
        <w:t>（</w:t>
      </w:r>
      <w:r>
        <w:rPr>
          <w:spacing w:val="-3"/>
          <w:highlight w:val="none"/>
        </w:rPr>
        <w:t>或</w:t>
      </w:r>
      <w:r>
        <w:rPr>
          <w:highlight w:val="none"/>
        </w:rPr>
        <w:t>）</w:t>
      </w:r>
      <w:r>
        <w:rPr>
          <w:spacing w:val="-3"/>
          <w:highlight w:val="none"/>
        </w:rPr>
        <w:t>合同协议书、材料进场验收证</w:t>
      </w:r>
      <w:r>
        <w:rPr>
          <w:highlight w:val="none"/>
        </w:rPr>
        <w:t>书等的复印件，具体时间要求见投标人须知前附表。每张表格只填写一个项目，并标明序号。</w:t>
      </w:r>
    </w:p>
    <w:p>
      <w:pPr>
        <w:pStyle w:val="28"/>
        <w:numPr>
          <w:ilvl w:val="2"/>
          <w:numId w:val="12"/>
        </w:numPr>
        <w:tabs>
          <w:tab w:val="left" w:pos="1296"/>
        </w:tabs>
        <w:spacing w:before="132" w:line="355" w:lineRule="auto"/>
        <w:ind w:right="694" w:firstLine="420"/>
        <w:jc w:val="both"/>
        <w:rPr>
          <w:sz w:val="21"/>
          <w:highlight w:val="none"/>
        </w:rPr>
      </w:pPr>
      <w:r>
        <w:rPr>
          <w:rFonts w:ascii="Times New Roman" w:hAnsi="Times New Roman" w:eastAsia="Times New Roman"/>
          <w:i/>
          <w:sz w:val="21"/>
          <w:highlight w:val="none"/>
        </w:rPr>
        <w:t>“</w:t>
      </w:r>
      <w:r>
        <w:rPr>
          <w:spacing w:val="-3"/>
          <w:sz w:val="21"/>
          <w:highlight w:val="none"/>
        </w:rPr>
        <w:t>正在供货和新承接的项目情况表</w:t>
      </w:r>
      <w:r>
        <w:rPr>
          <w:rFonts w:ascii="Times New Roman" w:hAnsi="Times New Roman" w:eastAsia="Times New Roman"/>
          <w:i/>
          <w:spacing w:val="-3"/>
          <w:sz w:val="21"/>
          <w:highlight w:val="none"/>
        </w:rPr>
        <w:t>”</w:t>
      </w:r>
      <w:r>
        <w:rPr>
          <w:spacing w:val="-3"/>
          <w:sz w:val="21"/>
          <w:highlight w:val="none"/>
        </w:rPr>
        <w:t>应附中标通知书和</w:t>
      </w:r>
      <w:r>
        <w:rPr>
          <w:sz w:val="21"/>
          <w:highlight w:val="none"/>
        </w:rPr>
        <w:t>（</w:t>
      </w:r>
      <w:r>
        <w:rPr>
          <w:spacing w:val="-3"/>
          <w:sz w:val="21"/>
          <w:highlight w:val="none"/>
        </w:rPr>
        <w:t>或</w:t>
      </w:r>
      <w:r>
        <w:rPr>
          <w:sz w:val="21"/>
          <w:highlight w:val="none"/>
        </w:rPr>
        <w:t>）</w:t>
      </w:r>
      <w:r>
        <w:rPr>
          <w:spacing w:val="-3"/>
          <w:sz w:val="21"/>
          <w:highlight w:val="none"/>
        </w:rPr>
        <w:t>合同协议书复印件。每张表格只填写一个项目，并标明序号。</w:t>
      </w:r>
    </w:p>
    <w:p>
      <w:pPr>
        <w:pStyle w:val="28"/>
        <w:numPr>
          <w:ilvl w:val="2"/>
          <w:numId w:val="12"/>
        </w:numPr>
        <w:tabs>
          <w:tab w:val="left" w:pos="1296"/>
        </w:tabs>
        <w:spacing w:before="3" w:line="357" w:lineRule="auto"/>
        <w:ind w:right="693" w:firstLine="420"/>
        <w:jc w:val="both"/>
        <w:rPr>
          <w:sz w:val="21"/>
          <w:highlight w:val="none"/>
        </w:rPr>
      </w:pPr>
      <w:r>
        <w:rPr>
          <w:rFonts w:ascii="Times New Roman" w:hAnsi="Times New Roman" w:eastAsia="Times New Roman"/>
          <w:i/>
          <w:sz w:val="21"/>
          <w:highlight w:val="none"/>
        </w:rPr>
        <w:t>“</w:t>
      </w:r>
      <w:r>
        <w:rPr>
          <w:spacing w:val="-3"/>
          <w:sz w:val="21"/>
          <w:highlight w:val="none"/>
        </w:rPr>
        <w:t>近年发生的诉讼及仲裁情况</w:t>
      </w:r>
      <w:r>
        <w:rPr>
          <w:rFonts w:ascii="Times New Roman" w:hAnsi="Times New Roman" w:eastAsia="Times New Roman"/>
          <w:i/>
          <w:spacing w:val="-3"/>
          <w:sz w:val="21"/>
          <w:highlight w:val="none"/>
        </w:rPr>
        <w:t>”</w:t>
      </w:r>
      <w:r>
        <w:rPr>
          <w:spacing w:val="-3"/>
          <w:sz w:val="21"/>
          <w:highlight w:val="none"/>
        </w:rPr>
        <w:t>应说明投标人败诉的材料买卖合同的相关情况，并附法院或仲裁机构作出的判决、裁决等有关法律文书复印件，具体时间要求见投标人须知前附表。</w:t>
      </w:r>
    </w:p>
    <w:p>
      <w:pPr>
        <w:pStyle w:val="28"/>
        <w:numPr>
          <w:ilvl w:val="2"/>
          <w:numId w:val="12"/>
        </w:numPr>
        <w:tabs>
          <w:tab w:val="left" w:pos="1346"/>
        </w:tabs>
        <w:spacing w:line="357" w:lineRule="auto"/>
        <w:ind w:right="691" w:firstLine="420"/>
        <w:jc w:val="both"/>
        <w:rPr>
          <w:sz w:val="21"/>
          <w:highlight w:val="none"/>
        </w:rPr>
      </w:pPr>
      <w:r>
        <w:rPr>
          <w:spacing w:val="-9"/>
          <w:sz w:val="21"/>
          <w:highlight w:val="none"/>
        </w:rPr>
        <w:t xml:space="preserve">投标人须知前附表规定接受联合体投标的，本章第 </w:t>
      </w:r>
      <w:r>
        <w:rPr>
          <w:rFonts w:ascii="Times New Roman" w:eastAsia="Times New Roman"/>
          <w:sz w:val="21"/>
          <w:highlight w:val="none"/>
        </w:rPr>
        <w:t>3.5.1</w:t>
      </w:r>
      <w:r>
        <w:rPr>
          <w:rFonts w:ascii="Times New Roman" w:eastAsia="Times New Roman"/>
          <w:spacing w:val="10"/>
          <w:sz w:val="21"/>
          <w:highlight w:val="none"/>
        </w:rPr>
        <w:t xml:space="preserve"> </w:t>
      </w:r>
      <w:r>
        <w:rPr>
          <w:spacing w:val="-13"/>
          <w:sz w:val="21"/>
          <w:highlight w:val="none"/>
        </w:rPr>
        <w:t xml:space="preserve">项至第 </w:t>
      </w:r>
      <w:r>
        <w:rPr>
          <w:rFonts w:ascii="Times New Roman" w:eastAsia="Times New Roman"/>
          <w:sz w:val="21"/>
          <w:highlight w:val="none"/>
        </w:rPr>
        <w:t>3.5.5</w:t>
      </w:r>
      <w:r>
        <w:rPr>
          <w:rFonts w:ascii="Times New Roman" w:eastAsia="Times New Roman"/>
          <w:spacing w:val="6"/>
          <w:sz w:val="21"/>
          <w:highlight w:val="none"/>
        </w:rPr>
        <w:t xml:space="preserve"> </w:t>
      </w:r>
      <w:r>
        <w:rPr>
          <w:spacing w:val="-3"/>
          <w:sz w:val="21"/>
          <w:highlight w:val="none"/>
        </w:rPr>
        <w:t>项规定的表格和资料应包括联合体各方相关情况。</w:t>
      </w:r>
    </w:p>
    <w:p>
      <w:pPr>
        <w:pStyle w:val="5"/>
        <w:tabs>
          <w:tab w:val="left" w:pos="1027"/>
        </w:tabs>
        <w:spacing w:before="146"/>
        <w:ind w:left="537" w:firstLine="0"/>
        <w:rPr>
          <w:rFonts w:ascii="Times New Roman" w:eastAsia="Times New Roman"/>
          <w:highlight w:val="none"/>
        </w:rPr>
      </w:pPr>
      <w:bookmarkStart w:id="78" w:name="_bookmark45"/>
      <w:bookmarkEnd w:id="78"/>
      <w:bookmarkStart w:id="79" w:name="_Toc30740"/>
      <w:r>
        <w:rPr>
          <w:rFonts w:hint="eastAsia"/>
          <w:spacing w:val="-1"/>
          <w:highlight w:val="none"/>
          <w:lang w:val="en-US"/>
        </w:rPr>
        <w:t>3.6</w:t>
      </w:r>
      <w:r>
        <w:rPr>
          <w:spacing w:val="-1"/>
          <w:highlight w:val="none"/>
        </w:rPr>
        <w:t>投标文件的编制</w:t>
      </w:r>
      <w:bookmarkEnd w:id="79"/>
    </w:p>
    <w:p>
      <w:pPr>
        <w:pStyle w:val="11"/>
        <w:spacing w:before="2"/>
        <w:rPr>
          <w:sz w:val="29"/>
          <w:highlight w:val="none"/>
        </w:rPr>
      </w:pPr>
    </w:p>
    <w:p>
      <w:pPr>
        <w:pStyle w:val="28"/>
        <w:tabs>
          <w:tab w:val="left" w:pos="1346"/>
        </w:tabs>
        <w:spacing w:line="357" w:lineRule="auto"/>
        <w:ind w:left="440" w:right="694" w:firstLine="385" w:firstLineChars="189"/>
        <w:jc w:val="both"/>
        <w:rPr>
          <w:sz w:val="21"/>
          <w:highlight w:val="none"/>
        </w:rPr>
      </w:pPr>
      <w:r>
        <w:rPr>
          <w:rFonts w:hint="eastAsia"/>
          <w:spacing w:val="-3"/>
          <w:sz w:val="21"/>
          <w:highlight w:val="none"/>
          <w:lang w:val="en-US"/>
        </w:rPr>
        <w:t>3.6.1</w:t>
      </w:r>
      <w:r>
        <w:rPr>
          <w:spacing w:val="-3"/>
          <w:sz w:val="21"/>
          <w:highlight w:val="none"/>
        </w:rPr>
        <w:t>投标文件应按第</w:t>
      </w:r>
      <w:r>
        <w:rPr>
          <w:rFonts w:hint="eastAsia"/>
          <w:spacing w:val="-3"/>
          <w:sz w:val="21"/>
          <w:highlight w:val="none"/>
          <w:lang w:val="en-US"/>
        </w:rPr>
        <w:t>六</w:t>
      </w:r>
      <w:r>
        <w:rPr>
          <w:spacing w:val="-3"/>
          <w:sz w:val="21"/>
          <w:highlight w:val="none"/>
        </w:rPr>
        <w:t>章</w:t>
      </w:r>
      <w:r>
        <w:rPr>
          <w:rFonts w:ascii="Times New Roman" w:hAnsi="Times New Roman" w:eastAsia="Times New Roman"/>
          <w:i/>
          <w:sz w:val="21"/>
          <w:highlight w:val="none"/>
        </w:rPr>
        <w:t>“</w:t>
      </w:r>
      <w:r>
        <w:rPr>
          <w:spacing w:val="-3"/>
          <w:sz w:val="21"/>
          <w:highlight w:val="none"/>
        </w:rPr>
        <w:t>投标文件格式</w:t>
      </w:r>
      <w:r>
        <w:rPr>
          <w:rFonts w:ascii="Times New Roman" w:hAnsi="Times New Roman" w:eastAsia="Times New Roman"/>
          <w:i/>
          <w:spacing w:val="-3"/>
          <w:sz w:val="21"/>
          <w:highlight w:val="none"/>
        </w:rPr>
        <w:t>”</w:t>
      </w:r>
      <w:r>
        <w:rPr>
          <w:spacing w:val="-9"/>
          <w:sz w:val="21"/>
          <w:highlight w:val="none"/>
        </w:rPr>
        <w:t>进行编写，如有必要，可以增加附页，作为投标</w:t>
      </w:r>
      <w:r>
        <w:rPr>
          <w:spacing w:val="-5"/>
          <w:sz w:val="21"/>
          <w:highlight w:val="none"/>
        </w:rPr>
        <w:t>文件的组成部分。</w:t>
      </w:r>
    </w:p>
    <w:p>
      <w:pPr>
        <w:pStyle w:val="28"/>
        <w:tabs>
          <w:tab w:val="left" w:pos="1346"/>
        </w:tabs>
        <w:spacing w:line="357" w:lineRule="auto"/>
        <w:ind w:left="440" w:right="694" w:firstLine="385" w:firstLineChars="189"/>
        <w:jc w:val="both"/>
        <w:rPr>
          <w:sz w:val="21"/>
          <w:highlight w:val="none"/>
        </w:rPr>
      </w:pPr>
      <w:r>
        <w:rPr>
          <w:rFonts w:hint="eastAsia"/>
          <w:spacing w:val="-3"/>
          <w:sz w:val="21"/>
          <w:highlight w:val="none"/>
          <w:lang w:val="en-US"/>
        </w:rPr>
        <w:t>3.6.2</w:t>
      </w:r>
      <w:r>
        <w:rPr>
          <w:spacing w:val="-7"/>
          <w:sz w:val="21"/>
          <w:highlight w:val="none"/>
        </w:rPr>
        <w:t>投标文件应当对招标文件有关供货期、投标有效期、供货要求、招标范围等实质性内</w:t>
      </w:r>
      <w:r>
        <w:rPr>
          <w:spacing w:val="-8"/>
          <w:sz w:val="21"/>
          <w:highlight w:val="none"/>
        </w:rPr>
        <w:t>容作出响应。投标文件在满足招标文件实质性要求的基础上，可以提出比招标文件要求更有利</w:t>
      </w:r>
      <w:r>
        <w:rPr>
          <w:spacing w:val="-3"/>
          <w:sz w:val="21"/>
          <w:highlight w:val="none"/>
        </w:rPr>
        <w:t>于招标人的承诺。</w:t>
      </w:r>
    </w:p>
    <w:p>
      <w:pPr>
        <w:pStyle w:val="11"/>
        <w:spacing w:line="357" w:lineRule="auto"/>
        <w:ind w:left="400" w:right="692" w:firstLine="419"/>
        <w:jc w:val="both"/>
        <w:rPr>
          <w:spacing w:val="-4"/>
          <w:highlight w:val="none"/>
        </w:rPr>
      </w:pPr>
      <w:r>
        <w:rPr>
          <w:rFonts w:hint="eastAsia"/>
          <w:spacing w:val="-3"/>
          <w:highlight w:val="none"/>
          <w:lang w:val="en-US"/>
        </w:rPr>
        <w:t>3.6.3</w:t>
      </w:r>
      <w:r>
        <w:rPr>
          <w:spacing w:val="-1"/>
          <w:highlight w:val="none"/>
        </w:rPr>
        <w:t>投标文件应用不褪色的材料书写或打印，投标函及对投标文件的澄清、说</w:t>
      </w:r>
      <w:r>
        <w:rPr>
          <w:spacing w:val="-2"/>
          <w:highlight w:val="none"/>
        </w:rPr>
        <w:t>明和补正</w:t>
      </w:r>
      <w:r>
        <w:rPr>
          <w:spacing w:val="-4"/>
          <w:highlight w:val="none"/>
        </w:rPr>
        <w:t>应由投标人的法定代表人（单位负责人）或其授权的代理人签字或盖单位章。由投标人的法定代表人（单位负责人）签字的，应附法定代表人（单位负责人）身份证明，由代理人签字的，应附授权委托书，身份证明或授权委托书应符合第</w:t>
      </w:r>
      <w:r>
        <w:rPr>
          <w:rFonts w:hint="eastAsia"/>
          <w:spacing w:val="-4"/>
          <w:highlight w:val="none"/>
          <w:lang w:val="en-US"/>
        </w:rPr>
        <w:t>六</w:t>
      </w:r>
      <w:r>
        <w:rPr>
          <w:spacing w:val="-4"/>
          <w:highlight w:val="none"/>
        </w:rPr>
        <w:t>章“投标文件格式”的要求。投标文件应尽量避免涂改、行间插字或删除。如果出现上述情况，改动之处应由投标人的法定代表人（单位负责人）或其授权的代理人签字或盖单位章。</w:t>
      </w:r>
    </w:p>
    <w:p>
      <w:pPr>
        <w:pStyle w:val="28"/>
        <w:tabs>
          <w:tab w:val="left" w:pos="1347"/>
        </w:tabs>
        <w:spacing w:line="355" w:lineRule="auto"/>
        <w:ind w:left="440" w:right="693" w:firstLine="385" w:firstLineChars="189"/>
        <w:jc w:val="both"/>
        <w:rPr>
          <w:spacing w:val="-4"/>
          <w:sz w:val="21"/>
          <w:szCs w:val="21"/>
          <w:highlight w:val="none"/>
        </w:rPr>
      </w:pPr>
      <w:r>
        <w:rPr>
          <w:rFonts w:hint="eastAsia"/>
          <w:spacing w:val="-3"/>
          <w:sz w:val="21"/>
          <w:highlight w:val="none"/>
          <w:lang w:val="en-US"/>
        </w:rPr>
        <w:t>3.6.4</w:t>
      </w:r>
      <w:r>
        <w:rPr>
          <w:spacing w:val="-7"/>
          <w:sz w:val="21"/>
          <w:highlight w:val="none"/>
        </w:rPr>
        <w:t>投标文件正本一份，副本份数见投标人须知前附表。正本和副本的封面右上角上应</w:t>
      </w:r>
      <w:r>
        <w:rPr>
          <w:spacing w:val="-4"/>
          <w:sz w:val="21"/>
          <w:szCs w:val="21"/>
          <w:highlight w:val="none"/>
        </w:rPr>
        <w:t>清楚地标记“正本”或“副本”的字样。投标人应根据投标人须知前附表要求提供电子版文件。当副本和正本不一致或电子版文件和纸质正本文件不一致时，以纸质正本文件为准。</w:t>
      </w:r>
    </w:p>
    <w:p>
      <w:pPr>
        <w:pStyle w:val="28"/>
        <w:tabs>
          <w:tab w:val="left" w:pos="1347"/>
        </w:tabs>
        <w:spacing w:line="355" w:lineRule="auto"/>
        <w:ind w:left="440" w:right="693" w:firstLine="385" w:firstLineChars="189"/>
        <w:jc w:val="both"/>
        <w:rPr>
          <w:spacing w:val="-4"/>
          <w:sz w:val="21"/>
          <w:szCs w:val="21"/>
          <w:highlight w:val="none"/>
        </w:rPr>
      </w:pPr>
      <w:r>
        <w:rPr>
          <w:rFonts w:hint="eastAsia"/>
          <w:spacing w:val="-3"/>
          <w:sz w:val="21"/>
          <w:highlight w:val="none"/>
          <w:lang w:val="en-US"/>
        </w:rPr>
        <w:t>3.6.5</w:t>
      </w:r>
      <w:r>
        <w:rPr>
          <w:spacing w:val="-4"/>
          <w:sz w:val="21"/>
          <w:szCs w:val="21"/>
          <w:highlight w:val="none"/>
        </w:rPr>
        <w:t>投标文件的正本与副本应分别装订，并编制目录，投标文件需分册装订的，具体分册装订要求见投标人须知前附表规定。</w:t>
      </w:r>
    </w:p>
    <w:p>
      <w:pPr>
        <w:pStyle w:val="4"/>
        <w:numPr>
          <w:ilvl w:val="0"/>
          <w:numId w:val="5"/>
        </w:numPr>
        <w:tabs>
          <w:tab w:val="left" w:pos="802"/>
        </w:tabs>
        <w:spacing w:before="41"/>
        <w:rPr>
          <w:highlight w:val="none"/>
        </w:rPr>
      </w:pPr>
      <w:bookmarkStart w:id="80" w:name="_bookmark46"/>
      <w:bookmarkEnd w:id="80"/>
      <w:bookmarkStart w:id="81" w:name="_Toc5627"/>
      <w:bookmarkStart w:id="82" w:name="_Toc29484"/>
      <w:r>
        <w:rPr>
          <w:highlight w:val="none"/>
        </w:rPr>
        <w:t>投标</w:t>
      </w:r>
      <w:bookmarkEnd w:id="81"/>
      <w:bookmarkEnd w:id="82"/>
    </w:p>
    <w:p>
      <w:pPr>
        <w:pStyle w:val="11"/>
        <w:spacing w:before="13"/>
        <w:rPr>
          <w:rFonts w:ascii="Microsoft JhengHei"/>
          <w:b/>
          <w:sz w:val="26"/>
          <w:highlight w:val="none"/>
        </w:rPr>
      </w:pPr>
    </w:p>
    <w:p>
      <w:pPr>
        <w:pStyle w:val="5"/>
        <w:numPr>
          <w:ilvl w:val="1"/>
          <w:numId w:val="5"/>
        </w:numPr>
        <w:tabs>
          <w:tab w:val="left" w:pos="1027"/>
        </w:tabs>
        <w:ind w:hanging="489"/>
        <w:rPr>
          <w:highlight w:val="none"/>
        </w:rPr>
      </w:pPr>
      <w:bookmarkStart w:id="83" w:name="_bookmark47"/>
      <w:bookmarkEnd w:id="83"/>
      <w:bookmarkStart w:id="84" w:name="_Toc10866"/>
      <w:r>
        <w:rPr>
          <w:spacing w:val="-2"/>
          <w:highlight w:val="none"/>
        </w:rPr>
        <w:t>投标文件的密封和标记</w:t>
      </w:r>
      <w:bookmarkEnd w:id="84"/>
    </w:p>
    <w:p>
      <w:pPr>
        <w:pStyle w:val="11"/>
        <w:spacing w:before="12"/>
        <w:rPr>
          <w:sz w:val="28"/>
          <w:highlight w:val="none"/>
        </w:rPr>
      </w:pPr>
    </w:p>
    <w:p>
      <w:pPr>
        <w:pStyle w:val="28"/>
        <w:tabs>
          <w:tab w:val="left" w:pos="1346"/>
        </w:tabs>
        <w:spacing w:before="3" w:line="360" w:lineRule="auto"/>
        <w:ind w:left="440" w:firstLine="444" w:firstLineChars="220"/>
        <w:rPr>
          <w:spacing w:val="-4"/>
          <w:sz w:val="21"/>
          <w:highlight w:val="none"/>
          <w:lang w:val="en-US"/>
        </w:rPr>
      </w:pPr>
    </w:p>
    <w:p>
      <w:pPr>
        <w:pStyle w:val="28"/>
        <w:tabs>
          <w:tab w:val="left" w:pos="1346"/>
        </w:tabs>
        <w:spacing w:before="3" w:line="360" w:lineRule="auto"/>
        <w:ind w:left="440" w:firstLine="444" w:firstLineChars="220"/>
        <w:rPr>
          <w:spacing w:val="-4"/>
          <w:sz w:val="21"/>
          <w:szCs w:val="21"/>
          <w:highlight w:val="none"/>
        </w:rPr>
      </w:pPr>
      <w:r>
        <w:rPr>
          <w:rFonts w:hint="eastAsia"/>
          <w:spacing w:val="-4"/>
          <w:sz w:val="21"/>
          <w:highlight w:val="none"/>
          <w:lang w:val="en-US"/>
        </w:rPr>
        <w:t>4.1.1</w:t>
      </w:r>
      <w:r>
        <w:rPr>
          <w:rFonts w:hint="eastAsia"/>
          <w:spacing w:val="-4"/>
          <w:sz w:val="21"/>
          <w:szCs w:val="21"/>
          <w:highlight w:val="none"/>
        </w:rPr>
        <w:t>投标文件应密封包装，并在封套的封口处加盖投标人单位章或由投标人的法定代表人（单位负责人）或其授权的代理人签字。</w:t>
      </w:r>
    </w:p>
    <w:p>
      <w:pPr>
        <w:pStyle w:val="28"/>
        <w:tabs>
          <w:tab w:val="left" w:pos="1346"/>
        </w:tabs>
        <w:spacing w:before="3" w:line="360" w:lineRule="auto"/>
        <w:ind w:left="820" w:firstLine="0"/>
        <w:rPr>
          <w:sz w:val="21"/>
          <w:highlight w:val="none"/>
        </w:rPr>
      </w:pPr>
      <w:r>
        <w:rPr>
          <w:rFonts w:hint="eastAsia"/>
          <w:spacing w:val="-3"/>
          <w:sz w:val="21"/>
          <w:highlight w:val="none"/>
          <w:lang w:val="en-US"/>
        </w:rPr>
        <w:t>4.1.2</w:t>
      </w:r>
      <w:r>
        <w:rPr>
          <w:rFonts w:hint="eastAsia"/>
          <w:spacing w:val="-4"/>
          <w:sz w:val="21"/>
          <w:szCs w:val="21"/>
          <w:highlight w:val="none"/>
        </w:rPr>
        <w:t>投标文件封套上应写明的内容见投标人须知前附表。</w:t>
      </w:r>
    </w:p>
    <w:p>
      <w:pPr>
        <w:pStyle w:val="28"/>
        <w:tabs>
          <w:tab w:val="left" w:pos="1346"/>
        </w:tabs>
        <w:spacing w:before="132" w:line="360" w:lineRule="auto"/>
        <w:ind w:left="820" w:firstLine="0"/>
        <w:rPr>
          <w:highlight w:val="none"/>
        </w:rPr>
      </w:pPr>
      <w:r>
        <w:rPr>
          <w:rFonts w:hint="eastAsia"/>
          <w:spacing w:val="-12"/>
          <w:sz w:val="21"/>
          <w:highlight w:val="none"/>
          <w:lang w:val="en-US"/>
        </w:rPr>
        <w:t>4.1.3</w:t>
      </w:r>
      <w:r>
        <w:rPr>
          <w:rFonts w:hint="eastAsia"/>
          <w:highlight w:val="none"/>
        </w:rPr>
        <w:t>未按本章第 4.1.1 项要求密封的投标文件，招标人将予以拒收。</w:t>
      </w:r>
    </w:p>
    <w:p>
      <w:pPr>
        <w:pStyle w:val="5"/>
        <w:tabs>
          <w:tab w:val="left" w:pos="1027"/>
        </w:tabs>
        <w:ind w:left="537" w:firstLine="0"/>
        <w:rPr>
          <w:rFonts w:ascii="Times New Roman" w:eastAsia="Times New Roman"/>
          <w:highlight w:val="none"/>
        </w:rPr>
      </w:pPr>
      <w:bookmarkStart w:id="85" w:name="_bookmark48"/>
      <w:bookmarkEnd w:id="85"/>
      <w:bookmarkStart w:id="86" w:name="_Toc27830"/>
      <w:r>
        <w:rPr>
          <w:rFonts w:hint="eastAsia"/>
          <w:spacing w:val="-1"/>
          <w:highlight w:val="none"/>
          <w:lang w:val="en-US"/>
        </w:rPr>
        <w:t>4.2</w:t>
      </w:r>
      <w:r>
        <w:rPr>
          <w:spacing w:val="-1"/>
          <w:highlight w:val="none"/>
        </w:rPr>
        <w:t>投标文件的递交</w:t>
      </w:r>
      <w:bookmarkEnd w:id="86"/>
    </w:p>
    <w:p>
      <w:pPr>
        <w:pStyle w:val="11"/>
        <w:spacing w:before="2"/>
        <w:rPr>
          <w:sz w:val="29"/>
          <w:highlight w:val="none"/>
        </w:rPr>
      </w:pPr>
    </w:p>
    <w:p>
      <w:pPr>
        <w:pStyle w:val="28"/>
        <w:tabs>
          <w:tab w:val="left" w:pos="1346"/>
        </w:tabs>
        <w:spacing w:line="360" w:lineRule="auto"/>
        <w:ind w:left="820" w:firstLine="0"/>
        <w:rPr>
          <w:sz w:val="21"/>
          <w:highlight w:val="none"/>
        </w:rPr>
      </w:pPr>
      <w:r>
        <w:rPr>
          <w:rFonts w:hint="eastAsia"/>
          <w:spacing w:val="-3"/>
          <w:sz w:val="21"/>
          <w:highlight w:val="none"/>
          <w:lang w:val="en-US"/>
        </w:rPr>
        <w:t xml:space="preserve">4.2.1 </w:t>
      </w:r>
      <w:r>
        <w:rPr>
          <w:spacing w:val="-3"/>
          <w:sz w:val="21"/>
          <w:highlight w:val="none"/>
        </w:rPr>
        <w:t>投标人应在投标人须知前附表规定的投标截止时间前递交投标文件。</w:t>
      </w:r>
    </w:p>
    <w:p>
      <w:pPr>
        <w:pStyle w:val="28"/>
        <w:tabs>
          <w:tab w:val="left" w:pos="1346"/>
        </w:tabs>
        <w:spacing w:before="132" w:line="360" w:lineRule="auto"/>
        <w:ind w:left="820" w:firstLine="0"/>
        <w:rPr>
          <w:sz w:val="21"/>
          <w:highlight w:val="none"/>
        </w:rPr>
      </w:pPr>
      <w:r>
        <w:rPr>
          <w:rFonts w:hint="eastAsia"/>
          <w:sz w:val="21"/>
          <w:highlight w:val="none"/>
          <w:lang w:val="en-US"/>
        </w:rPr>
        <w:t xml:space="preserve">4.2.2 </w:t>
      </w:r>
      <w:r>
        <w:rPr>
          <w:spacing w:val="-3"/>
          <w:sz w:val="21"/>
          <w:highlight w:val="none"/>
        </w:rPr>
        <w:t>投标人递交投标文件的地点：见投标人须知前附表。</w:t>
      </w:r>
    </w:p>
    <w:p>
      <w:pPr>
        <w:pStyle w:val="28"/>
        <w:tabs>
          <w:tab w:val="left" w:pos="1346"/>
        </w:tabs>
        <w:spacing w:before="130" w:line="360" w:lineRule="auto"/>
        <w:ind w:left="820" w:firstLine="0"/>
        <w:rPr>
          <w:sz w:val="21"/>
          <w:highlight w:val="none"/>
        </w:rPr>
      </w:pPr>
      <w:r>
        <w:rPr>
          <w:rFonts w:hint="eastAsia"/>
          <w:spacing w:val="-3"/>
          <w:sz w:val="21"/>
          <w:highlight w:val="none"/>
          <w:lang w:val="en-US"/>
        </w:rPr>
        <w:t xml:space="preserve">4.2.3 </w:t>
      </w:r>
      <w:r>
        <w:rPr>
          <w:spacing w:val="-3"/>
          <w:sz w:val="21"/>
          <w:highlight w:val="none"/>
        </w:rPr>
        <w:t>除投标人须知前附表另有规定外，投标人所递交的投标文件不予退还。</w:t>
      </w:r>
    </w:p>
    <w:p>
      <w:pPr>
        <w:pStyle w:val="28"/>
        <w:tabs>
          <w:tab w:val="left" w:pos="1346"/>
        </w:tabs>
        <w:spacing w:before="131" w:line="360" w:lineRule="auto"/>
        <w:ind w:left="820" w:firstLine="0"/>
        <w:rPr>
          <w:spacing w:val="-3"/>
          <w:sz w:val="21"/>
          <w:highlight w:val="none"/>
        </w:rPr>
      </w:pPr>
      <w:r>
        <w:rPr>
          <w:rFonts w:hint="eastAsia"/>
          <w:sz w:val="21"/>
          <w:highlight w:val="none"/>
          <w:lang w:val="en-US"/>
        </w:rPr>
        <w:t xml:space="preserve">4.2.4 </w:t>
      </w:r>
      <w:r>
        <w:rPr>
          <w:spacing w:val="-3"/>
          <w:sz w:val="21"/>
          <w:highlight w:val="none"/>
        </w:rPr>
        <w:t>招标人收到投标文件后，向投标人出具签收凭证。</w:t>
      </w:r>
    </w:p>
    <w:p>
      <w:pPr>
        <w:pStyle w:val="28"/>
        <w:tabs>
          <w:tab w:val="left" w:pos="1346"/>
        </w:tabs>
        <w:spacing w:before="3" w:line="360" w:lineRule="auto"/>
        <w:ind w:left="820" w:firstLine="0"/>
        <w:rPr>
          <w:spacing w:val="-3"/>
          <w:sz w:val="21"/>
          <w:highlight w:val="none"/>
        </w:rPr>
      </w:pPr>
      <w:r>
        <w:rPr>
          <w:rFonts w:hint="eastAsia"/>
          <w:sz w:val="21"/>
          <w:highlight w:val="none"/>
          <w:lang w:val="en-US"/>
        </w:rPr>
        <w:t xml:space="preserve">4.2.5 </w:t>
      </w:r>
      <w:r>
        <w:rPr>
          <w:rFonts w:hint="eastAsia"/>
          <w:spacing w:val="-3"/>
          <w:sz w:val="21"/>
          <w:highlight w:val="none"/>
        </w:rPr>
        <w:t>逾期送达的或者未送达指定地点的投标文件，招标人不予受理</w:t>
      </w:r>
      <w:r>
        <w:rPr>
          <w:spacing w:val="-3"/>
          <w:sz w:val="21"/>
          <w:highlight w:val="none"/>
        </w:rPr>
        <w:t>。</w:t>
      </w:r>
      <w:bookmarkStart w:id="87" w:name="_bookmark49"/>
      <w:bookmarkEnd w:id="87"/>
    </w:p>
    <w:p>
      <w:pPr>
        <w:pStyle w:val="5"/>
        <w:tabs>
          <w:tab w:val="left" w:pos="1027"/>
        </w:tabs>
        <w:ind w:left="537" w:firstLine="0"/>
        <w:rPr>
          <w:spacing w:val="-1"/>
          <w:highlight w:val="none"/>
          <w:lang w:val="en-US"/>
        </w:rPr>
      </w:pPr>
      <w:bookmarkStart w:id="88" w:name="_Toc2142"/>
      <w:r>
        <w:rPr>
          <w:rFonts w:hint="eastAsia"/>
          <w:spacing w:val="-1"/>
          <w:highlight w:val="none"/>
          <w:lang w:val="en-US"/>
        </w:rPr>
        <w:t>4.3投标文件的修改与撤回</w:t>
      </w:r>
      <w:bookmarkEnd w:id="88"/>
    </w:p>
    <w:p>
      <w:pPr>
        <w:pStyle w:val="11"/>
        <w:spacing w:before="2"/>
        <w:rPr>
          <w:sz w:val="29"/>
          <w:highlight w:val="none"/>
        </w:rPr>
      </w:pPr>
    </w:p>
    <w:p>
      <w:pPr>
        <w:pStyle w:val="28"/>
        <w:numPr>
          <w:ilvl w:val="2"/>
          <w:numId w:val="13"/>
        </w:numPr>
        <w:tabs>
          <w:tab w:val="left" w:pos="1346"/>
        </w:tabs>
        <w:spacing w:line="355" w:lineRule="auto"/>
        <w:ind w:right="585" w:firstLine="420"/>
        <w:rPr>
          <w:sz w:val="21"/>
          <w:highlight w:val="none"/>
        </w:rPr>
      </w:pPr>
      <w:r>
        <w:rPr>
          <w:spacing w:val="-9"/>
          <w:sz w:val="21"/>
          <w:highlight w:val="none"/>
        </w:rPr>
        <w:t xml:space="preserve">在本章第 </w:t>
      </w:r>
      <w:r>
        <w:rPr>
          <w:rFonts w:ascii="Times New Roman" w:eastAsia="Times New Roman"/>
          <w:sz w:val="21"/>
          <w:highlight w:val="none"/>
        </w:rPr>
        <w:t>4.2.1</w:t>
      </w:r>
      <w:r>
        <w:rPr>
          <w:rFonts w:ascii="Times New Roman" w:eastAsia="Times New Roman"/>
          <w:spacing w:val="18"/>
          <w:sz w:val="21"/>
          <w:highlight w:val="none"/>
        </w:rPr>
        <w:t xml:space="preserve"> </w:t>
      </w:r>
      <w:r>
        <w:rPr>
          <w:spacing w:val="-10"/>
          <w:sz w:val="21"/>
          <w:highlight w:val="none"/>
        </w:rPr>
        <w:t xml:space="preserve">项规定的投标截止时间前，投标人可以修改或撤回已递交的投标文件， </w:t>
      </w:r>
      <w:r>
        <w:rPr>
          <w:spacing w:val="-5"/>
          <w:sz w:val="21"/>
          <w:highlight w:val="none"/>
        </w:rPr>
        <w:t>但应以书面形式通知招标人。</w:t>
      </w:r>
    </w:p>
    <w:p>
      <w:pPr>
        <w:pStyle w:val="28"/>
        <w:numPr>
          <w:ilvl w:val="2"/>
          <w:numId w:val="13"/>
        </w:numPr>
        <w:tabs>
          <w:tab w:val="left" w:pos="1344"/>
        </w:tabs>
        <w:spacing w:before="3" w:line="357" w:lineRule="auto"/>
        <w:ind w:right="693" w:firstLine="420"/>
        <w:rPr>
          <w:sz w:val="21"/>
          <w:highlight w:val="none"/>
        </w:rPr>
      </w:pPr>
      <w:r>
        <w:rPr>
          <w:spacing w:val="-4"/>
          <w:sz w:val="21"/>
          <w:highlight w:val="none"/>
        </w:rPr>
        <w:t xml:space="preserve">投标人修改或撤回已递交投标文件的书面通知应按照本章第 </w:t>
      </w:r>
      <w:r>
        <w:rPr>
          <w:rFonts w:ascii="Times New Roman" w:eastAsia="Times New Roman"/>
          <w:sz w:val="21"/>
          <w:highlight w:val="none"/>
        </w:rPr>
        <w:t>3.</w:t>
      </w:r>
      <w:r>
        <w:rPr>
          <w:rFonts w:hint="eastAsia" w:ascii="Times New Roman"/>
          <w:sz w:val="21"/>
          <w:highlight w:val="none"/>
          <w:lang w:val="en-US"/>
        </w:rPr>
        <w:t>6</w:t>
      </w:r>
      <w:r>
        <w:rPr>
          <w:rFonts w:ascii="Times New Roman" w:eastAsia="Times New Roman"/>
          <w:sz w:val="21"/>
          <w:highlight w:val="none"/>
        </w:rPr>
        <w:t>.3</w:t>
      </w:r>
      <w:r>
        <w:rPr>
          <w:spacing w:val="-2"/>
          <w:sz w:val="21"/>
          <w:highlight w:val="none"/>
        </w:rPr>
        <w:t>项的要</w:t>
      </w:r>
      <w:r>
        <w:rPr>
          <w:spacing w:val="-3"/>
          <w:sz w:val="21"/>
          <w:highlight w:val="none"/>
        </w:rPr>
        <w:t>求签字或盖章。招标人收到书面通知后，向投标人出具签收凭证。</w:t>
      </w:r>
    </w:p>
    <w:p>
      <w:pPr>
        <w:pStyle w:val="28"/>
        <w:tabs>
          <w:tab w:val="left" w:pos="1344"/>
        </w:tabs>
        <w:spacing w:before="3" w:line="357" w:lineRule="auto"/>
        <w:ind w:left="440" w:right="693" w:firstLine="385" w:firstLineChars="189"/>
        <w:rPr>
          <w:spacing w:val="-3"/>
          <w:sz w:val="21"/>
          <w:highlight w:val="none"/>
        </w:rPr>
      </w:pPr>
      <w:r>
        <w:rPr>
          <w:rFonts w:hint="eastAsia"/>
          <w:spacing w:val="-3"/>
          <w:sz w:val="21"/>
          <w:highlight w:val="none"/>
          <w:lang w:val="en-US"/>
        </w:rPr>
        <w:t>4.3.3</w:t>
      </w:r>
      <w:r>
        <w:rPr>
          <w:spacing w:val="-3"/>
          <w:sz w:val="21"/>
          <w:highlight w:val="none"/>
        </w:rPr>
        <w:t>投标人撤回投标文件的，招标人自收到投标人书面撤回通知之日起</w:t>
      </w:r>
      <w:r>
        <w:rPr>
          <w:rFonts w:hint="eastAsia"/>
          <w:spacing w:val="-3"/>
          <w:sz w:val="21"/>
          <w:highlight w:val="none"/>
          <w:lang w:val="en-US"/>
        </w:rPr>
        <w:t>5</w:t>
      </w:r>
      <w:r>
        <w:rPr>
          <w:spacing w:val="-3"/>
          <w:sz w:val="21"/>
          <w:highlight w:val="none"/>
        </w:rPr>
        <w:t>日内退还已收取的投标保证金。</w:t>
      </w:r>
    </w:p>
    <w:p>
      <w:pPr>
        <w:pStyle w:val="28"/>
        <w:tabs>
          <w:tab w:val="left" w:pos="1344"/>
        </w:tabs>
        <w:spacing w:before="3" w:line="357" w:lineRule="auto"/>
        <w:ind w:left="440" w:right="693" w:firstLine="385" w:firstLineChars="189"/>
        <w:rPr>
          <w:spacing w:val="-3"/>
          <w:sz w:val="21"/>
          <w:highlight w:val="none"/>
        </w:rPr>
      </w:pPr>
      <w:r>
        <w:rPr>
          <w:rFonts w:hint="eastAsia"/>
          <w:spacing w:val="-3"/>
          <w:sz w:val="21"/>
          <w:highlight w:val="none"/>
          <w:lang w:val="en-US"/>
        </w:rPr>
        <w:t>4.3.4</w:t>
      </w:r>
      <w:r>
        <w:rPr>
          <w:spacing w:val="-3"/>
          <w:sz w:val="21"/>
          <w:highlight w:val="none"/>
        </w:rPr>
        <w:t>修改的内容为投标文件的组成部分。修改的投标文件应按照本章第 3 条、第 4 条的规定进行编制、密封、标记和递交，并标明“修改”字样。</w:t>
      </w:r>
    </w:p>
    <w:p>
      <w:pPr>
        <w:pStyle w:val="4"/>
        <w:numPr>
          <w:ilvl w:val="0"/>
          <w:numId w:val="5"/>
        </w:numPr>
        <w:tabs>
          <w:tab w:val="left" w:pos="802"/>
        </w:tabs>
        <w:spacing w:before="44"/>
        <w:rPr>
          <w:highlight w:val="none"/>
        </w:rPr>
      </w:pPr>
      <w:bookmarkStart w:id="89" w:name="_bookmark50"/>
      <w:bookmarkEnd w:id="89"/>
      <w:bookmarkStart w:id="90" w:name="_Toc20101"/>
      <w:bookmarkStart w:id="91" w:name="_Toc10685"/>
      <w:r>
        <w:rPr>
          <w:highlight w:val="none"/>
        </w:rPr>
        <w:t>开标</w:t>
      </w:r>
      <w:bookmarkEnd w:id="90"/>
      <w:bookmarkEnd w:id="91"/>
    </w:p>
    <w:p>
      <w:pPr>
        <w:pStyle w:val="11"/>
        <w:spacing w:before="13"/>
        <w:rPr>
          <w:rFonts w:ascii="Microsoft JhengHei"/>
          <w:b/>
          <w:sz w:val="26"/>
          <w:highlight w:val="none"/>
        </w:rPr>
      </w:pPr>
    </w:p>
    <w:p>
      <w:pPr>
        <w:pStyle w:val="5"/>
        <w:numPr>
          <w:ilvl w:val="1"/>
          <w:numId w:val="5"/>
        </w:numPr>
        <w:tabs>
          <w:tab w:val="left" w:pos="1027"/>
        </w:tabs>
        <w:ind w:hanging="489"/>
        <w:rPr>
          <w:highlight w:val="none"/>
        </w:rPr>
      </w:pPr>
      <w:bookmarkStart w:id="92" w:name="_bookmark51"/>
      <w:bookmarkEnd w:id="92"/>
      <w:bookmarkStart w:id="93" w:name="_Toc21900"/>
      <w:r>
        <w:rPr>
          <w:spacing w:val="-1"/>
          <w:highlight w:val="none"/>
        </w:rPr>
        <w:t>开标时间和地点</w:t>
      </w:r>
      <w:bookmarkEnd w:id="93"/>
    </w:p>
    <w:p>
      <w:pPr>
        <w:pStyle w:val="11"/>
        <w:spacing w:before="12"/>
        <w:rPr>
          <w:sz w:val="28"/>
          <w:highlight w:val="none"/>
        </w:rPr>
      </w:pPr>
    </w:p>
    <w:p>
      <w:pPr>
        <w:pStyle w:val="11"/>
        <w:spacing w:line="357" w:lineRule="auto"/>
        <w:ind w:left="400" w:right="693" w:firstLine="419"/>
        <w:rPr>
          <w:highlight w:val="none"/>
        </w:rPr>
      </w:pPr>
      <w:r>
        <w:rPr>
          <w:spacing w:val="-7"/>
          <w:highlight w:val="none"/>
        </w:rPr>
        <w:t xml:space="preserve">招标人在本章第 </w:t>
      </w:r>
      <w:r>
        <w:rPr>
          <w:rFonts w:ascii="Times New Roman" w:eastAsia="Times New Roman"/>
          <w:highlight w:val="none"/>
        </w:rPr>
        <w:t xml:space="preserve">4.2.1 </w:t>
      </w:r>
      <w:r>
        <w:rPr>
          <w:spacing w:val="-7"/>
          <w:highlight w:val="none"/>
        </w:rPr>
        <w:t>项规定的投标截止时间</w:t>
      </w:r>
      <w:r>
        <w:rPr>
          <w:spacing w:val="-3"/>
          <w:highlight w:val="none"/>
        </w:rPr>
        <w:t>（</w:t>
      </w:r>
      <w:r>
        <w:rPr>
          <w:spacing w:val="-2"/>
          <w:highlight w:val="none"/>
        </w:rPr>
        <w:t>开标时间</w:t>
      </w:r>
      <w:r>
        <w:rPr>
          <w:spacing w:val="-41"/>
          <w:highlight w:val="none"/>
        </w:rPr>
        <w:t>）</w:t>
      </w:r>
      <w:r>
        <w:rPr>
          <w:spacing w:val="-3"/>
          <w:highlight w:val="none"/>
        </w:rPr>
        <w:t>和投标人须知前附表规定的地点公开开标，并邀请所有投标人的法定代表人（单位负责人</w:t>
      </w:r>
      <w:r>
        <w:rPr>
          <w:highlight w:val="none"/>
        </w:rPr>
        <w:t>）</w:t>
      </w:r>
      <w:r>
        <w:rPr>
          <w:spacing w:val="-3"/>
          <w:highlight w:val="none"/>
        </w:rPr>
        <w:t>或其委托代理人准时参加。</w:t>
      </w:r>
    </w:p>
    <w:p>
      <w:pPr>
        <w:pStyle w:val="5"/>
        <w:tabs>
          <w:tab w:val="left" w:pos="1027"/>
        </w:tabs>
        <w:spacing w:before="154"/>
        <w:ind w:left="537" w:firstLine="0"/>
        <w:rPr>
          <w:highlight w:val="none"/>
        </w:rPr>
      </w:pPr>
      <w:bookmarkStart w:id="94" w:name="_bookmark53"/>
      <w:bookmarkEnd w:id="94"/>
      <w:bookmarkStart w:id="95" w:name="_Toc7049"/>
      <w:r>
        <w:rPr>
          <w:rFonts w:hint="eastAsia"/>
          <w:highlight w:val="none"/>
          <w:lang w:val="en-US"/>
        </w:rPr>
        <w:t>5.2</w:t>
      </w:r>
      <w:r>
        <w:rPr>
          <w:highlight w:val="none"/>
        </w:rPr>
        <w:t>开标程序</w:t>
      </w:r>
      <w:bookmarkEnd w:id="95"/>
    </w:p>
    <w:p>
      <w:pPr>
        <w:pStyle w:val="11"/>
        <w:spacing w:before="2"/>
        <w:rPr>
          <w:sz w:val="29"/>
          <w:highlight w:val="none"/>
        </w:rPr>
      </w:pPr>
    </w:p>
    <w:p>
      <w:pPr>
        <w:pStyle w:val="11"/>
        <w:ind w:left="820"/>
        <w:rPr>
          <w:highlight w:val="none"/>
        </w:rPr>
      </w:pPr>
      <w:r>
        <w:rPr>
          <w:highlight w:val="none"/>
        </w:rPr>
        <w:t>主持人按下列程序进行开标：</w:t>
      </w:r>
    </w:p>
    <w:p>
      <w:pPr>
        <w:pStyle w:val="28"/>
        <w:numPr>
          <w:ilvl w:val="2"/>
          <w:numId w:val="14"/>
        </w:numPr>
        <w:tabs>
          <w:tab w:val="left" w:pos="1350"/>
        </w:tabs>
        <w:spacing w:before="132"/>
        <w:rPr>
          <w:sz w:val="21"/>
          <w:highlight w:val="none"/>
        </w:rPr>
      </w:pPr>
      <w:r>
        <w:rPr>
          <w:spacing w:val="-3"/>
          <w:sz w:val="21"/>
          <w:highlight w:val="none"/>
        </w:rPr>
        <w:t>宣布开标纪律；</w:t>
      </w:r>
    </w:p>
    <w:p>
      <w:pPr>
        <w:pStyle w:val="28"/>
        <w:numPr>
          <w:ilvl w:val="2"/>
          <w:numId w:val="14"/>
        </w:numPr>
        <w:tabs>
          <w:tab w:val="left" w:pos="1350"/>
        </w:tabs>
        <w:spacing w:before="129"/>
        <w:rPr>
          <w:sz w:val="21"/>
          <w:highlight w:val="none"/>
        </w:rPr>
      </w:pPr>
      <w:r>
        <w:rPr>
          <w:spacing w:val="-3"/>
          <w:sz w:val="21"/>
          <w:highlight w:val="none"/>
        </w:rPr>
        <w:t>公布在投标截止时间前递交投标文件的投标人名称；</w:t>
      </w:r>
    </w:p>
    <w:p>
      <w:pPr>
        <w:pStyle w:val="28"/>
        <w:numPr>
          <w:ilvl w:val="2"/>
          <w:numId w:val="14"/>
        </w:numPr>
        <w:tabs>
          <w:tab w:val="left" w:pos="1350"/>
        </w:tabs>
        <w:spacing w:before="132"/>
        <w:rPr>
          <w:sz w:val="21"/>
          <w:highlight w:val="none"/>
        </w:rPr>
      </w:pPr>
      <w:r>
        <w:rPr>
          <w:spacing w:val="-3"/>
          <w:sz w:val="21"/>
          <w:highlight w:val="none"/>
        </w:rPr>
        <w:t>宣布开标人、唱标人、记录人、监标人等有关人员姓名；</w:t>
      </w:r>
    </w:p>
    <w:p>
      <w:pPr>
        <w:pStyle w:val="11"/>
        <w:spacing w:before="132" w:line="357" w:lineRule="auto"/>
        <w:ind w:left="400" w:right="692" w:firstLine="419"/>
        <w:jc w:val="both"/>
        <w:rPr>
          <w:highlight w:val="none"/>
        </w:rPr>
      </w:pPr>
      <w:r>
        <w:rPr>
          <w:spacing w:val="2"/>
          <w:highlight w:val="none"/>
        </w:rPr>
        <w:t>（</w:t>
      </w:r>
      <w:r>
        <w:rPr>
          <w:rFonts w:ascii="Times New Roman" w:eastAsia="Times New Roman"/>
          <w:spacing w:val="2"/>
          <w:highlight w:val="none"/>
        </w:rPr>
        <w:t>4</w:t>
      </w:r>
      <w:r>
        <w:rPr>
          <w:spacing w:val="-106"/>
          <w:highlight w:val="none"/>
        </w:rPr>
        <w:t>）</w:t>
      </w:r>
      <w:r>
        <w:rPr>
          <w:spacing w:val="-1"/>
          <w:highlight w:val="none"/>
        </w:rPr>
        <w:t>检查投标文件的密封情况，按照投标人须知前附表规定的开标顺序当众开标，</w:t>
      </w:r>
      <w:r>
        <w:rPr>
          <w:spacing w:val="-3"/>
          <w:highlight w:val="none"/>
        </w:rPr>
        <w:t>公布招标项目名称、投标人名称、投标保证金的递交情况、投标报价、交货期、交货地点及其他内容，并记录在案；</w:t>
      </w:r>
    </w:p>
    <w:p>
      <w:pPr>
        <w:pStyle w:val="11"/>
        <w:spacing w:line="360" w:lineRule="auto"/>
        <w:rPr>
          <w:highlight w:val="none"/>
        </w:rPr>
      </w:pPr>
      <w:r>
        <w:rPr>
          <w:rFonts w:hint="eastAsia"/>
          <w:highlight w:val="none"/>
          <w:lang w:val="en-US"/>
        </w:rPr>
        <w:t xml:space="preserve">        </w:t>
      </w:r>
      <w:r>
        <w:rPr>
          <w:highlight w:val="none"/>
        </w:rPr>
        <w:t>（</w:t>
      </w:r>
      <w:r>
        <w:rPr>
          <w:rFonts w:ascii="Times New Roman" w:eastAsia="Times New Roman"/>
          <w:highlight w:val="none"/>
        </w:rPr>
        <w:t>5</w:t>
      </w:r>
      <w:r>
        <w:rPr>
          <w:spacing w:val="-132"/>
          <w:highlight w:val="none"/>
        </w:rPr>
        <w:t>）</w:t>
      </w:r>
      <w:r>
        <w:rPr>
          <w:spacing w:val="-10"/>
          <w:highlight w:val="none"/>
        </w:rPr>
        <w:t>投标人代表、招标人代表、监标人、记录人等有关人员在开标记录上签字确认；</w:t>
      </w:r>
    </w:p>
    <w:p>
      <w:pPr>
        <w:pStyle w:val="11"/>
        <w:spacing w:before="3" w:line="360" w:lineRule="auto"/>
        <w:ind w:left="820"/>
        <w:rPr>
          <w:highlight w:val="none"/>
        </w:rPr>
      </w:pPr>
      <w:r>
        <w:rPr>
          <w:highlight w:val="none"/>
        </w:rPr>
        <w:t>（</w:t>
      </w:r>
      <w:r>
        <w:rPr>
          <w:rFonts w:ascii="Times New Roman" w:eastAsia="Times New Roman"/>
          <w:highlight w:val="none"/>
        </w:rPr>
        <w:t>6</w:t>
      </w:r>
      <w:r>
        <w:rPr>
          <w:highlight w:val="none"/>
        </w:rPr>
        <w:t>）开标结束。</w:t>
      </w:r>
    </w:p>
    <w:p>
      <w:pPr>
        <w:pStyle w:val="11"/>
        <w:spacing w:before="1"/>
        <w:rPr>
          <w:sz w:val="22"/>
          <w:highlight w:val="none"/>
        </w:rPr>
      </w:pPr>
    </w:p>
    <w:p>
      <w:pPr>
        <w:pStyle w:val="5"/>
        <w:tabs>
          <w:tab w:val="left" w:pos="1027"/>
        </w:tabs>
        <w:ind w:left="537" w:firstLine="0"/>
        <w:rPr>
          <w:highlight w:val="none"/>
        </w:rPr>
      </w:pPr>
      <w:bookmarkStart w:id="96" w:name="_bookmark54"/>
      <w:bookmarkEnd w:id="96"/>
      <w:bookmarkStart w:id="97" w:name="_Toc16836"/>
      <w:r>
        <w:rPr>
          <w:rFonts w:hint="eastAsia"/>
          <w:highlight w:val="none"/>
          <w:lang w:val="en-US"/>
        </w:rPr>
        <w:t>5.3</w:t>
      </w:r>
      <w:r>
        <w:rPr>
          <w:highlight w:val="none"/>
        </w:rPr>
        <w:t>开标异议</w:t>
      </w:r>
      <w:bookmarkEnd w:id="97"/>
    </w:p>
    <w:p>
      <w:pPr>
        <w:pStyle w:val="11"/>
        <w:spacing w:before="2"/>
        <w:rPr>
          <w:sz w:val="29"/>
          <w:highlight w:val="none"/>
        </w:rPr>
      </w:pPr>
    </w:p>
    <w:p>
      <w:pPr>
        <w:pStyle w:val="11"/>
        <w:ind w:left="760"/>
        <w:rPr>
          <w:highlight w:val="none"/>
        </w:rPr>
      </w:pPr>
      <w:r>
        <w:rPr>
          <w:highlight w:val="none"/>
        </w:rPr>
        <w:t>投标人对开标有异议的，应当在开标现场提出，招标人当场作出答复，并制作记录。</w:t>
      </w:r>
    </w:p>
    <w:p>
      <w:pPr>
        <w:pStyle w:val="4"/>
        <w:numPr>
          <w:ilvl w:val="0"/>
          <w:numId w:val="5"/>
        </w:numPr>
        <w:tabs>
          <w:tab w:val="left" w:pos="802"/>
        </w:tabs>
        <w:spacing w:before="175"/>
        <w:rPr>
          <w:highlight w:val="none"/>
        </w:rPr>
      </w:pPr>
      <w:bookmarkStart w:id="98" w:name="_bookmark55"/>
      <w:bookmarkEnd w:id="98"/>
      <w:bookmarkStart w:id="99" w:name="_Toc10544"/>
      <w:bookmarkStart w:id="100" w:name="_Toc31356"/>
      <w:r>
        <w:rPr>
          <w:highlight w:val="none"/>
        </w:rPr>
        <w:t>评标</w:t>
      </w:r>
      <w:bookmarkEnd w:id="99"/>
      <w:bookmarkEnd w:id="100"/>
    </w:p>
    <w:p>
      <w:pPr>
        <w:pStyle w:val="11"/>
        <w:spacing w:before="13"/>
        <w:rPr>
          <w:rFonts w:ascii="Microsoft JhengHei"/>
          <w:b/>
          <w:sz w:val="26"/>
          <w:highlight w:val="none"/>
        </w:rPr>
      </w:pPr>
    </w:p>
    <w:p>
      <w:pPr>
        <w:pStyle w:val="5"/>
        <w:numPr>
          <w:ilvl w:val="1"/>
          <w:numId w:val="5"/>
        </w:numPr>
        <w:tabs>
          <w:tab w:val="left" w:pos="1027"/>
        </w:tabs>
        <w:ind w:hanging="489"/>
        <w:rPr>
          <w:highlight w:val="none"/>
        </w:rPr>
      </w:pPr>
      <w:bookmarkStart w:id="101" w:name="_bookmark56"/>
      <w:bookmarkEnd w:id="101"/>
      <w:bookmarkStart w:id="102" w:name="_Toc23684"/>
      <w:r>
        <w:rPr>
          <w:highlight w:val="none"/>
        </w:rPr>
        <w:t>评标委员会</w:t>
      </w:r>
      <w:bookmarkEnd w:id="102"/>
    </w:p>
    <w:p>
      <w:pPr>
        <w:pStyle w:val="11"/>
        <w:rPr>
          <w:sz w:val="29"/>
          <w:highlight w:val="none"/>
        </w:rPr>
      </w:pPr>
    </w:p>
    <w:p>
      <w:pPr>
        <w:pStyle w:val="28"/>
        <w:numPr>
          <w:ilvl w:val="2"/>
          <w:numId w:val="5"/>
        </w:numPr>
        <w:tabs>
          <w:tab w:val="left" w:pos="1346"/>
        </w:tabs>
        <w:spacing w:line="357" w:lineRule="auto"/>
        <w:ind w:right="691" w:firstLine="420"/>
        <w:jc w:val="both"/>
        <w:rPr>
          <w:sz w:val="21"/>
          <w:highlight w:val="none"/>
        </w:rPr>
      </w:pPr>
      <w:r>
        <w:rPr>
          <w:spacing w:val="-7"/>
          <w:sz w:val="21"/>
          <w:highlight w:val="none"/>
        </w:rPr>
        <w:t>评标由招标人依法组建的评标委员会负责。评标委员会由招标人或其委托的招标代理机构熟悉相关业务的代表，以及有关技术、经济等方面的专家组成。评标委员会成员人数以及</w:t>
      </w:r>
      <w:r>
        <w:rPr>
          <w:spacing w:val="-5"/>
          <w:sz w:val="21"/>
          <w:highlight w:val="none"/>
        </w:rPr>
        <w:t>技术、经济等方面专家的确定方式见投标人须知前附表。</w:t>
      </w:r>
    </w:p>
    <w:p>
      <w:pPr>
        <w:pStyle w:val="28"/>
        <w:numPr>
          <w:ilvl w:val="2"/>
          <w:numId w:val="5"/>
        </w:numPr>
        <w:tabs>
          <w:tab w:val="left" w:pos="1346"/>
        </w:tabs>
        <w:spacing w:line="266" w:lineRule="exact"/>
        <w:ind w:left="1346" w:hanging="526"/>
        <w:rPr>
          <w:sz w:val="21"/>
          <w:highlight w:val="none"/>
        </w:rPr>
      </w:pPr>
      <w:r>
        <w:rPr>
          <w:spacing w:val="-3"/>
          <w:sz w:val="21"/>
          <w:highlight w:val="none"/>
        </w:rPr>
        <w:t>评标委员会成员有下列情形之一的，应当回避：</w:t>
      </w:r>
    </w:p>
    <w:p>
      <w:pPr>
        <w:pStyle w:val="28"/>
        <w:numPr>
          <w:ilvl w:val="3"/>
          <w:numId w:val="5"/>
        </w:numPr>
        <w:tabs>
          <w:tab w:val="left" w:pos="1647"/>
        </w:tabs>
        <w:spacing w:before="132"/>
        <w:rPr>
          <w:sz w:val="21"/>
          <w:highlight w:val="none"/>
        </w:rPr>
      </w:pPr>
      <w:r>
        <w:rPr>
          <w:spacing w:val="-3"/>
          <w:sz w:val="21"/>
          <w:highlight w:val="none"/>
        </w:rPr>
        <w:t>投标人或投标人主要负责人的近亲属；</w:t>
      </w:r>
    </w:p>
    <w:p>
      <w:pPr>
        <w:pStyle w:val="28"/>
        <w:numPr>
          <w:ilvl w:val="3"/>
          <w:numId w:val="5"/>
        </w:numPr>
        <w:tabs>
          <w:tab w:val="left" w:pos="1647"/>
        </w:tabs>
        <w:spacing w:before="132"/>
        <w:rPr>
          <w:sz w:val="21"/>
          <w:highlight w:val="none"/>
        </w:rPr>
      </w:pPr>
      <w:r>
        <w:rPr>
          <w:spacing w:val="-3"/>
          <w:sz w:val="21"/>
          <w:highlight w:val="none"/>
        </w:rPr>
        <w:t>项目主管部门或者行政监督部门的人员；</w:t>
      </w:r>
    </w:p>
    <w:p>
      <w:pPr>
        <w:pStyle w:val="28"/>
        <w:numPr>
          <w:ilvl w:val="3"/>
          <w:numId w:val="5"/>
        </w:numPr>
        <w:tabs>
          <w:tab w:val="left" w:pos="1647"/>
        </w:tabs>
        <w:spacing w:before="129"/>
        <w:rPr>
          <w:sz w:val="21"/>
          <w:highlight w:val="none"/>
        </w:rPr>
      </w:pPr>
      <w:r>
        <w:rPr>
          <w:spacing w:val="-3"/>
          <w:sz w:val="21"/>
          <w:highlight w:val="none"/>
        </w:rPr>
        <w:t>与投标人有经济利益关系，可能影响对投标公正评审的；</w:t>
      </w:r>
    </w:p>
    <w:p>
      <w:pPr>
        <w:pStyle w:val="28"/>
        <w:numPr>
          <w:ilvl w:val="3"/>
          <w:numId w:val="5"/>
        </w:numPr>
        <w:tabs>
          <w:tab w:val="left" w:pos="1647"/>
        </w:tabs>
        <w:spacing w:before="132" w:line="357" w:lineRule="auto"/>
        <w:ind w:left="400" w:right="695" w:firstLine="718"/>
        <w:rPr>
          <w:sz w:val="21"/>
          <w:highlight w:val="none"/>
        </w:rPr>
      </w:pPr>
      <w:r>
        <w:rPr>
          <w:spacing w:val="-1"/>
          <w:sz w:val="21"/>
          <w:highlight w:val="none"/>
        </w:rPr>
        <w:t>曾因在招标、评标以及其他与招标投标有关活动中从事违法行为而受过行政处罚</w:t>
      </w:r>
      <w:r>
        <w:rPr>
          <w:spacing w:val="-2"/>
          <w:sz w:val="21"/>
          <w:highlight w:val="none"/>
        </w:rPr>
        <w:t>或刑事处罚的；</w:t>
      </w:r>
    </w:p>
    <w:p>
      <w:pPr>
        <w:pStyle w:val="28"/>
        <w:numPr>
          <w:ilvl w:val="3"/>
          <w:numId w:val="5"/>
        </w:numPr>
        <w:tabs>
          <w:tab w:val="left" w:pos="1647"/>
        </w:tabs>
        <w:spacing w:line="267" w:lineRule="exact"/>
        <w:rPr>
          <w:sz w:val="21"/>
          <w:highlight w:val="none"/>
        </w:rPr>
      </w:pPr>
      <w:r>
        <w:rPr>
          <w:spacing w:val="-3"/>
          <w:sz w:val="21"/>
          <w:highlight w:val="none"/>
        </w:rPr>
        <w:t>与投标人有其他利害关系。</w:t>
      </w:r>
    </w:p>
    <w:p>
      <w:pPr>
        <w:pStyle w:val="28"/>
        <w:numPr>
          <w:ilvl w:val="2"/>
          <w:numId w:val="5"/>
        </w:numPr>
        <w:tabs>
          <w:tab w:val="left" w:pos="1346"/>
        </w:tabs>
        <w:spacing w:before="132" w:line="357" w:lineRule="auto"/>
        <w:ind w:right="691" w:firstLine="420"/>
        <w:jc w:val="both"/>
        <w:rPr>
          <w:sz w:val="21"/>
          <w:highlight w:val="none"/>
        </w:rPr>
      </w:pPr>
      <w:r>
        <w:rPr>
          <w:spacing w:val="-10"/>
          <w:sz w:val="21"/>
          <w:highlight w:val="none"/>
        </w:rPr>
        <w:t>评标过程中，评标委员会成员有回避事由、擅离职守或者因健康等原因不能继续评标</w:t>
      </w:r>
      <w:r>
        <w:rPr>
          <w:spacing w:val="-9"/>
          <w:sz w:val="21"/>
          <w:highlight w:val="none"/>
        </w:rPr>
        <w:t>的，招标人有权更换。被更换的评标委员会成员作出的评审结论无效，由更换后的评标委员会</w:t>
      </w:r>
      <w:r>
        <w:rPr>
          <w:spacing w:val="-5"/>
          <w:sz w:val="21"/>
          <w:highlight w:val="none"/>
        </w:rPr>
        <w:t>成员重新进行评审。</w:t>
      </w:r>
    </w:p>
    <w:p>
      <w:pPr>
        <w:pStyle w:val="5"/>
        <w:numPr>
          <w:ilvl w:val="1"/>
          <w:numId w:val="5"/>
        </w:numPr>
        <w:tabs>
          <w:tab w:val="left" w:pos="1027"/>
        </w:tabs>
        <w:spacing w:before="148"/>
        <w:ind w:hanging="489"/>
        <w:rPr>
          <w:highlight w:val="none"/>
        </w:rPr>
      </w:pPr>
      <w:bookmarkStart w:id="103" w:name="_bookmark57"/>
      <w:bookmarkEnd w:id="103"/>
      <w:bookmarkStart w:id="104" w:name="_Toc24047"/>
      <w:r>
        <w:rPr>
          <w:highlight w:val="none"/>
        </w:rPr>
        <w:t>评标原则</w:t>
      </w:r>
      <w:bookmarkEnd w:id="104"/>
    </w:p>
    <w:p>
      <w:pPr>
        <w:pStyle w:val="11"/>
        <w:spacing w:before="2"/>
        <w:rPr>
          <w:sz w:val="29"/>
          <w:highlight w:val="none"/>
        </w:rPr>
      </w:pPr>
    </w:p>
    <w:p>
      <w:pPr>
        <w:pStyle w:val="11"/>
        <w:ind w:left="820"/>
        <w:rPr>
          <w:highlight w:val="none"/>
          <w:lang w:val="en-US"/>
        </w:rPr>
      </w:pPr>
      <w:r>
        <w:rPr>
          <w:highlight w:val="none"/>
        </w:rPr>
        <w:t>评标活动遵循公平、公正、科学和择优的原则。</w:t>
      </w:r>
      <w:bookmarkStart w:id="105" w:name="_bookmark58"/>
      <w:bookmarkEnd w:id="105"/>
      <w:r>
        <w:rPr>
          <w:rFonts w:hint="eastAsia"/>
          <w:highlight w:val="none"/>
          <w:lang w:val="en-US"/>
        </w:rPr>
        <w:t xml:space="preserve">    </w:t>
      </w:r>
    </w:p>
    <w:p>
      <w:pPr>
        <w:pStyle w:val="5"/>
        <w:tabs>
          <w:tab w:val="left" w:pos="1027"/>
        </w:tabs>
        <w:spacing w:before="41"/>
        <w:ind w:left="0" w:firstLine="441" w:firstLineChars="157"/>
        <w:rPr>
          <w:highlight w:val="none"/>
        </w:rPr>
      </w:pPr>
      <w:bookmarkStart w:id="106" w:name="_Toc16105"/>
      <w:r>
        <w:rPr>
          <w:rFonts w:hint="eastAsia"/>
          <w:b/>
          <w:bCs/>
          <w:highlight w:val="none"/>
          <w:lang w:val="en-US"/>
        </w:rPr>
        <w:t>6.3</w:t>
      </w:r>
      <w:r>
        <w:rPr>
          <w:rFonts w:hint="eastAsia"/>
          <w:highlight w:val="none"/>
          <w:lang w:val="en-US"/>
        </w:rPr>
        <w:t xml:space="preserve"> </w:t>
      </w:r>
      <w:r>
        <w:rPr>
          <w:highlight w:val="none"/>
        </w:rPr>
        <w:t>评标</w:t>
      </w:r>
      <w:bookmarkEnd w:id="106"/>
    </w:p>
    <w:p>
      <w:pPr>
        <w:pStyle w:val="11"/>
        <w:spacing w:before="2"/>
        <w:rPr>
          <w:sz w:val="29"/>
          <w:highlight w:val="none"/>
        </w:rPr>
      </w:pPr>
    </w:p>
    <w:p>
      <w:pPr>
        <w:pStyle w:val="28"/>
        <w:tabs>
          <w:tab w:val="left" w:pos="1296"/>
        </w:tabs>
        <w:spacing w:line="355" w:lineRule="auto"/>
        <w:ind w:left="440" w:right="691" w:firstLine="385" w:firstLineChars="189"/>
        <w:rPr>
          <w:sz w:val="21"/>
          <w:highlight w:val="none"/>
        </w:rPr>
      </w:pPr>
      <w:r>
        <w:rPr>
          <w:rFonts w:hint="eastAsia"/>
          <w:spacing w:val="-3"/>
          <w:sz w:val="21"/>
          <w:highlight w:val="none"/>
          <w:lang w:val="en-US"/>
        </w:rPr>
        <w:t>6.3.1</w:t>
      </w:r>
      <w:r>
        <w:rPr>
          <w:spacing w:val="-3"/>
          <w:sz w:val="21"/>
          <w:highlight w:val="none"/>
        </w:rPr>
        <w:t>评标委员会按照第三章</w:t>
      </w:r>
      <w:r>
        <w:rPr>
          <w:rFonts w:ascii="Times New Roman" w:hAnsi="Times New Roman" w:eastAsia="Times New Roman"/>
          <w:i/>
          <w:sz w:val="21"/>
          <w:highlight w:val="none"/>
        </w:rPr>
        <w:t>“</w:t>
      </w:r>
      <w:r>
        <w:rPr>
          <w:spacing w:val="-3"/>
          <w:sz w:val="21"/>
          <w:highlight w:val="none"/>
        </w:rPr>
        <w:t>评标办法</w:t>
      </w:r>
      <w:r>
        <w:rPr>
          <w:rFonts w:ascii="Times New Roman" w:hAnsi="Times New Roman" w:eastAsia="Times New Roman"/>
          <w:i/>
          <w:sz w:val="21"/>
          <w:highlight w:val="none"/>
        </w:rPr>
        <w:t>”</w:t>
      </w:r>
      <w:r>
        <w:rPr>
          <w:spacing w:val="-3"/>
          <w:sz w:val="21"/>
          <w:highlight w:val="none"/>
        </w:rPr>
        <w:t>规定的方法、评审因素、标准和程序对投标文件进行评审。第三章</w:t>
      </w:r>
      <w:r>
        <w:rPr>
          <w:rFonts w:ascii="Times New Roman" w:hAnsi="Times New Roman" w:eastAsia="Times New Roman"/>
          <w:i/>
          <w:sz w:val="21"/>
          <w:highlight w:val="none"/>
        </w:rPr>
        <w:t>“</w:t>
      </w:r>
      <w:r>
        <w:rPr>
          <w:spacing w:val="-3"/>
          <w:sz w:val="21"/>
          <w:highlight w:val="none"/>
        </w:rPr>
        <w:t>评标办法</w:t>
      </w:r>
      <w:r>
        <w:rPr>
          <w:rFonts w:ascii="Times New Roman" w:hAnsi="Times New Roman" w:eastAsia="Times New Roman"/>
          <w:i/>
          <w:sz w:val="21"/>
          <w:highlight w:val="none"/>
        </w:rPr>
        <w:t>”</w:t>
      </w:r>
      <w:r>
        <w:rPr>
          <w:spacing w:val="-3"/>
          <w:sz w:val="21"/>
          <w:highlight w:val="none"/>
        </w:rPr>
        <w:t>没有规定的方法、评审因素和标准，不作为评标依据。</w:t>
      </w:r>
    </w:p>
    <w:p>
      <w:pPr>
        <w:pStyle w:val="28"/>
        <w:tabs>
          <w:tab w:val="left" w:pos="1294"/>
        </w:tabs>
        <w:spacing w:before="3" w:line="357" w:lineRule="auto"/>
        <w:ind w:left="440" w:right="691" w:firstLine="374" w:firstLineChars="189"/>
        <w:rPr>
          <w:sz w:val="21"/>
          <w:highlight w:val="none"/>
        </w:rPr>
      </w:pPr>
      <w:r>
        <w:rPr>
          <w:rFonts w:hint="eastAsia"/>
          <w:spacing w:val="-6"/>
          <w:sz w:val="21"/>
          <w:highlight w:val="none"/>
          <w:lang w:val="en-US"/>
        </w:rPr>
        <w:t>6.3.2</w:t>
      </w:r>
      <w:r>
        <w:rPr>
          <w:spacing w:val="-6"/>
          <w:sz w:val="21"/>
          <w:highlight w:val="none"/>
        </w:rPr>
        <w:t>评标完成后，评标委员会应当向招标人提交书面评标报告和中标候选人名单。评标委</w:t>
      </w:r>
      <w:r>
        <w:rPr>
          <w:spacing w:val="-4"/>
          <w:sz w:val="21"/>
          <w:highlight w:val="none"/>
        </w:rPr>
        <w:t>员会推荐中标候选人的人数见投标人须知前附表。</w:t>
      </w:r>
    </w:p>
    <w:p>
      <w:pPr>
        <w:pStyle w:val="4"/>
        <w:numPr>
          <w:ilvl w:val="0"/>
          <w:numId w:val="5"/>
        </w:numPr>
        <w:tabs>
          <w:tab w:val="left" w:pos="802"/>
        </w:tabs>
        <w:spacing w:before="43"/>
        <w:rPr>
          <w:highlight w:val="none"/>
        </w:rPr>
      </w:pPr>
      <w:bookmarkStart w:id="107" w:name="_bookmark59"/>
      <w:bookmarkEnd w:id="107"/>
      <w:bookmarkStart w:id="108" w:name="_Toc1531"/>
      <w:bookmarkStart w:id="109" w:name="_Toc10824"/>
      <w:r>
        <w:rPr>
          <w:highlight w:val="none"/>
        </w:rPr>
        <w:t>合同授予</w:t>
      </w:r>
      <w:bookmarkEnd w:id="108"/>
      <w:bookmarkEnd w:id="109"/>
    </w:p>
    <w:p>
      <w:pPr>
        <w:pStyle w:val="11"/>
        <w:spacing w:before="13"/>
        <w:rPr>
          <w:rFonts w:ascii="Microsoft JhengHei"/>
          <w:b/>
          <w:sz w:val="26"/>
          <w:highlight w:val="none"/>
        </w:rPr>
      </w:pPr>
    </w:p>
    <w:p>
      <w:pPr>
        <w:pStyle w:val="5"/>
        <w:numPr>
          <w:ilvl w:val="1"/>
          <w:numId w:val="5"/>
        </w:numPr>
        <w:tabs>
          <w:tab w:val="left" w:pos="1027"/>
        </w:tabs>
        <w:ind w:hanging="489"/>
        <w:rPr>
          <w:highlight w:val="none"/>
        </w:rPr>
      </w:pPr>
      <w:bookmarkStart w:id="110" w:name="_bookmark60"/>
      <w:bookmarkEnd w:id="110"/>
      <w:bookmarkStart w:id="111" w:name="_Toc26038"/>
      <w:r>
        <w:rPr>
          <w:spacing w:val="-1"/>
          <w:highlight w:val="none"/>
        </w:rPr>
        <w:t>中标候选人公示</w:t>
      </w:r>
      <w:bookmarkEnd w:id="111"/>
    </w:p>
    <w:p>
      <w:pPr>
        <w:pStyle w:val="11"/>
        <w:rPr>
          <w:sz w:val="29"/>
          <w:highlight w:val="none"/>
        </w:rPr>
      </w:pPr>
    </w:p>
    <w:p>
      <w:pPr>
        <w:pStyle w:val="11"/>
        <w:ind w:left="820"/>
        <w:rPr>
          <w:highlight w:val="none"/>
        </w:rPr>
      </w:pPr>
      <w:r>
        <w:rPr>
          <w:highlight w:val="none"/>
        </w:rPr>
        <w:t>招标人在收到评标报告之日起</w:t>
      </w:r>
      <w:r>
        <w:rPr>
          <w:rFonts w:hint="eastAsia"/>
          <w:highlight w:val="none"/>
          <w:lang w:val="en-US"/>
        </w:rPr>
        <w:t>3</w:t>
      </w:r>
      <w:r>
        <w:rPr>
          <w:rFonts w:ascii="Times New Roman" w:eastAsia="Times New Roman"/>
          <w:highlight w:val="none"/>
        </w:rPr>
        <w:t xml:space="preserve"> </w:t>
      </w:r>
      <w:r>
        <w:rPr>
          <w:highlight w:val="none"/>
        </w:rPr>
        <w:t>日内，按照投标人须知前附表规定的公示媒介和期限公示</w:t>
      </w:r>
    </w:p>
    <w:p>
      <w:pPr>
        <w:pStyle w:val="11"/>
        <w:spacing w:before="132"/>
        <w:ind w:left="400"/>
        <w:rPr>
          <w:highlight w:val="none"/>
        </w:rPr>
      </w:pPr>
      <w:r>
        <w:rPr>
          <w:spacing w:val="-6"/>
          <w:highlight w:val="none"/>
        </w:rPr>
        <w:t>中标候选人，公示期</w:t>
      </w:r>
      <w:r>
        <w:rPr>
          <w:rFonts w:hint="eastAsia"/>
          <w:spacing w:val="-6"/>
          <w:highlight w:val="none"/>
          <w:lang w:val="en-US"/>
        </w:rPr>
        <w:t>为3个</w:t>
      </w:r>
      <w:r>
        <w:rPr>
          <w:rFonts w:hint="eastAsia" w:ascii="Times New Roman"/>
          <w:highlight w:val="none"/>
          <w:lang w:val="en-US"/>
        </w:rPr>
        <w:t>工作日</w:t>
      </w:r>
      <w:r>
        <w:rPr>
          <w:highlight w:val="none"/>
        </w:rPr>
        <w:t>。</w:t>
      </w:r>
    </w:p>
    <w:p>
      <w:pPr>
        <w:pStyle w:val="11"/>
        <w:rPr>
          <w:sz w:val="22"/>
          <w:highlight w:val="none"/>
        </w:rPr>
      </w:pPr>
    </w:p>
    <w:p>
      <w:pPr>
        <w:pStyle w:val="5"/>
        <w:numPr>
          <w:ilvl w:val="1"/>
          <w:numId w:val="5"/>
        </w:numPr>
        <w:tabs>
          <w:tab w:val="left" w:pos="1027"/>
        </w:tabs>
        <w:spacing w:before="1"/>
        <w:ind w:hanging="489"/>
        <w:rPr>
          <w:highlight w:val="none"/>
        </w:rPr>
      </w:pPr>
      <w:bookmarkStart w:id="112" w:name="_bookmark61"/>
      <w:bookmarkEnd w:id="112"/>
      <w:bookmarkStart w:id="113" w:name="_Toc3811"/>
      <w:r>
        <w:rPr>
          <w:spacing w:val="-1"/>
          <w:highlight w:val="none"/>
        </w:rPr>
        <w:t>评标结果异议</w:t>
      </w:r>
      <w:bookmarkEnd w:id="113"/>
    </w:p>
    <w:p>
      <w:pPr>
        <w:pStyle w:val="11"/>
        <w:spacing w:before="2"/>
        <w:rPr>
          <w:sz w:val="29"/>
          <w:highlight w:val="none"/>
        </w:rPr>
      </w:pPr>
    </w:p>
    <w:p>
      <w:pPr>
        <w:pStyle w:val="11"/>
        <w:spacing w:line="355" w:lineRule="auto"/>
        <w:ind w:left="400" w:right="694" w:firstLine="419"/>
        <w:rPr>
          <w:highlight w:val="none"/>
        </w:rPr>
      </w:pPr>
      <w:r>
        <w:rPr>
          <w:highlight w:val="none"/>
        </w:rPr>
        <w:t xml:space="preserve">投标人或者其他利害关系人对评标结果有异议的，应当在中标候选人公示期间提出。招标人将在收到异议之日起 </w:t>
      </w:r>
      <w:r>
        <w:rPr>
          <w:rFonts w:ascii="Times New Roman" w:eastAsia="Times New Roman"/>
          <w:highlight w:val="none"/>
        </w:rPr>
        <w:t xml:space="preserve">3 </w:t>
      </w:r>
      <w:r>
        <w:rPr>
          <w:highlight w:val="none"/>
        </w:rPr>
        <w:t>日内作出答复；作出答复前，将暂停招标投标活动。</w:t>
      </w:r>
    </w:p>
    <w:p>
      <w:pPr>
        <w:pStyle w:val="5"/>
        <w:numPr>
          <w:ilvl w:val="1"/>
          <w:numId w:val="5"/>
        </w:numPr>
        <w:tabs>
          <w:tab w:val="left" w:pos="1027"/>
        </w:tabs>
        <w:spacing w:before="154"/>
        <w:ind w:hanging="489"/>
        <w:rPr>
          <w:highlight w:val="none"/>
        </w:rPr>
      </w:pPr>
      <w:bookmarkStart w:id="114" w:name="_bookmark62"/>
      <w:bookmarkEnd w:id="114"/>
      <w:bookmarkStart w:id="115" w:name="_Toc17580"/>
      <w:r>
        <w:rPr>
          <w:spacing w:val="-2"/>
          <w:highlight w:val="none"/>
        </w:rPr>
        <w:t>中标候选人履约能力审查</w:t>
      </w:r>
      <w:bookmarkEnd w:id="115"/>
    </w:p>
    <w:p>
      <w:pPr>
        <w:pStyle w:val="11"/>
        <w:spacing w:before="1"/>
        <w:rPr>
          <w:sz w:val="29"/>
          <w:highlight w:val="none"/>
        </w:rPr>
      </w:pPr>
    </w:p>
    <w:p>
      <w:pPr>
        <w:pStyle w:val="11"/>
        <w:spacing w:before="1" w:line="357" w:lineRule="auto"/>
        <w:ind w:left="400" w:right="693" w:firstLine="419"/>
        <w:jc w:val="both"/>
        <w:rPr>
          <w:highlight w:val="none"/>
        </w:rPr>
      </w:pPr>
      <w:r>
        <w:rPr>
          <w:highlight w:val="none"/>
        </w:rPr>
        <w:t>中标候选人的经营、财务状况发生较大变化或存在违法行为，招标人认为可能影响其履约能力的，将在发出中标通知书前提请原评标委员会按照招标文件规定的标准和方法进行审查确认。</w:t>
      </w:r>
    </w:p>
    <w:p>
      <w:pPr>
        <w:pStyle w:val="5"/>
        <w:numPr>
          <w:ilvl w:val="1"/>
          <w:numId w:val="5"/>
        </w:numPr>
        <w:tabs>
          <w:tab w:val="left" w:pos="1027"/>
        </w:tabs>
        <w:spacing w:before="148"/>
        <w:ind w:hanging="489"/>
        <w:rPr>
          <w:highlight w:val="none"/>
        </w:rPr>
      </w:pPr>
      <w:bookmarkStart w:id="116" w:name="_bookmark63"/>
      <w:bookmarkEnd w:id="116"/>
      <w:bookmarkStart w:id="117" w:name="_Toc12306"/>
      <w:r>
        <w:rPr>
          <w:highlight w:val="none"/>
        </w:rPr>
        <w:t>定标</w:t>
      </w:r>
      <w:bookmarkEnd w:id="117"/>
    </w:p>
    <w:p>
      <w:pPr>
        <w:pStyle w:val="11"/>
        <w:spacing w:before="2"/>
        <w:rPr>
          <w:sz w:val="29"/>
          <w:highlight w:val="none"/>
        </w:rPr>
      </w:pPr>
    </w:p>
    <w:p>
      <w:pPr>
        <w:pStyle w:val="11"/>
        <w:ind w:left="820"/>
        <w:rPr>
          <w:highlight w:val="none"/>
        </w:rPr>
      </w:pPr>
      <w:r>
        <w:rPr>
          <w:highlight w:val="none"/>
        </w:rPr>
        <w:t>按照投标人须知前附表的规定，招标人或招标人授权的评标委员会依法确定中标人。</w:t>
      </w:r>
    </w:p>
    <w:p>
      <w:pPr>
        <w:pStyle w:val="11"/>
        <w:spacing w:before="1"/>
        <w:rPr>
          <w:sz w:val="22"/>
          <w:highlight w:val="none"/>
        </w:rPr>
      </w:pPr>
    </w:p>
    <w:p>
      <w:pPr>
        <w:pStyle w:val="5"/>
        <w:numPr>
          <w:ilvl w:val="1"/>
          <w:numId w:val="5"/>
        </w:numPr>
        <w:tabs>
          <w:tab w:val="left" w:pos="1027"/>
        </w:tabs>
        <w:ind w:hanging="489"/>
        <w:rPr>
          <w:highlight w:val="none"/>
        </w:rPr>
      </w:pPr>
      <w:bookmarkStart w:id="118" w:name="_bookmark64"/>
      <w:bookmarkEnd w:id="118"/>
      <w:bookmarkStart w:id="119" w:name="_Toc9620"/>
      <w:r>
        <w:rPr>
          <w:highlight w:val="none"/>
        </w:rPr>
        <w:t>中标通知</w:t>
      </w:r>
      <w:bookmarkEnd w:id="119"/>
    </w:p>
    <w:p>
      <w:pPr>
        <w:pStyle w:val="11"/>
        <w:spacing w:before="2"/>
        <w:rPr>
          <w:sz w:val="29"/>
          <w:highlight w:val="none"/>
        </w:rPr>
      </w:pPr>
    </w:p>
    <w:p>
      <w:pPr>
        <w:pStyle w:val="11"/>
        <w:spacing w:line="355" w:lineRule="auto"/>
        <w:ind w:left="400" w:right="691" w:firstLine="419"/>
        <w:rPr>
          <w:highlight w:val="none"/>
        </w:rPr>
      </w:pPr>
      <w:r>
        <w:rPr>
          <w:highlight w:val="none"/>
        </w:rPr>
        <w:t xml:space="preserve">在本章第 </w:t>
      </w:r>
      <w:r>
        <w:rPr>
          <w:rFonts w:ascii="Times New Roman" w:eastAsia="Times New Roman"/>
          <w:highlight w:val="none"/>
        </w:rPr>
        <w:t xml:space="preserve">3.3 </w:t>
      </w:r>
      <w:r>
        <w:rPr>
          <w:highlight w:val="none"/>
        </w:rPr>
        <w:t>款规定的投标有效期内，招标人以书面形式向中标人发出中标通知书，同时将中标结果通知未中标的投标人。</w:t>
      </w:r>
    </w:p>
    <w:p>
      <w:pPr>
        <w:pStyle w:val="5"/>
        <w:numPr>
          <w:ilvl w:val="1"/>
          <w:numId w:val="5"/>
        </w:numPr>
        <w:tabs>
          <w:tab w:val="left" w:pos="1027"/>
        </w:tabs>
        <w:spacing w:before="154"/>
        <w:ind w:hanging="489"/>
        <w:rPr>
          <w:highlight w:val="none"/>
        </w:rPr>
      </w:pPr>
      <w:bookmarkStart w:id="120" w:name="_bookmark65"/>
      <w:bookmarkEnd w:id="120"/>
      <w:bookmarkStart w:id="121" w:name="_Toc17442"/>
      <w:r>
        <w:rPr>
          <w:highlight w:val="none"/>
        </w:rPr>
        <w:t>履约保证金</w:t>
      </w:r>
      <w:bookmarkEnd w:id="121"/>
    </w:p>
    <w:p>
      <w:pPr>
        <w:pStyle w:val="11"/>
        <w:spacing w:before="2" w:line="360" w:lineRule="auto"/>
        <w:rPr>
          <w:sz w:val="29"/>
          <w:highlight w:val="none"/>
        </w:rPr>
      </w:pPr>
    </w:p>
    <w:p>
      <w:pPr>
        <w:pStyle w:val="28"/>
        <w:numPr>
          <w:ilvl w:val="2"/>
          <w:numId w:val="5"/>
        </w:numPr>
        <w:tabs>
          <w:tab w:val="left" w:pos="1346"/>
        </w:tabs>
        <w:spacing w:line="360" w:lineRule="auto"/>
        <w:ind w:left="1346" w:hanging="526"/>
        <w:rPr>
          <w:sz w:val="21"/>
          <w:highlight w:val="none"/>
        </w:rPr>
      </w:pPr>
      <w:r>
        <w:rPr>
          <w:spacing w:val="-14"/>
          <w:sz w:val="21"/>
          <w:highlight w:val="none"/>
        </w:rPr>
        <w:t>在签订合同前，中标人应按投标人须知前附表规定的形式、金额和招标文件第四章</w:t>
      </w:r>
      <w:r>
        <w:rPr>
          <w:rFonts w:ascii="Times New Roman" w:hAnsi="Times New Roman" w:eastAsia="Times New Roman"/>
          <w:i/>
          <w:spacing w:val="-3"/>
          <w:sz w:val="21"/>
          <w:highlight w:val="none"/>
        </w:rPr>
        <w:t>“</w:t>
      </w:r>
      <w:r>
        <w:rPr>
          <w:sz w:val="21"/>
          <w:highlight w:val="none"/>
        </w:rPr>
        <w:t>合</w:t>
      </w:r>
    </w:p>
    <w:p>
      <w:pPr>
        <w:pStyle w:val="11"/>
        <w:spacing w:before="49" w:line="360" w:lineRule="auto"/>
        <w:ind w:right="691"/>
        <w:jc w:val="both"/>
        <w:rPr>
          <w:highlight w:val="none"/>
        </w:rPr>
      </w:pPr>
      <w:r>
        <w:rPr>
          <w:highlight w:val="none"/>
        </w:rPr>
        <w:t>同条款及格式</w:t>
      </w:r>
      <w:r>
        <w:rPr>
          <w:rFonts w:ascii="Times New Roman" w:hAnsi="Times New Roman" w:eastAsia="Times New Roman"/>
          <w:i/>
          <w:highlight w:val="none"/>
        </w:rPr>
        <w:t>”</w:t>
      </w:r>
      <w:r>
        <w:rPr>
          <w:highlight w:val="none"/>
        </w:rPr>
        <w:t>规定的或者事先经过招标人书面认可的履约保证金格式向招标人提交履约保证</w:t>
      </w:r>
      <w:r>
        <w:rPr>
          <w:spacing w:val="-4"/>
          <w:highlight w:val="none"/>
        </w:rPr>
        <w:t>金。除投标人须知前附表另有规定外，履约保证金为中标合同金额的</w:t>
      </w:r>
      <w:r>
        <w:rPr>
          <w:rFonts w:ascii="Times New Roman" w:hAnsi="Times New Roman" w:eastAsia="Times New Roman"/>
          <w:highlight w:val="none"/>
        </w:rPr>
        <w:t>10%</w:t>
      </w:r>
      <w:r>
        <w:rPr>
          <w:spacing w:val="-3"/>
          <w:highlight w:val="none"/>
        </w:rPr>
        <w:t>。联合体中标的，其履约保证金以联合体各方或者联合体中牵头人的名义提交。</w:t>
      </w:r>
    </w:p>
    <w:p>
      <w:pPr>
        <w:pStyle w:val="28"/>
        <w:numPr>
          <w:ilvl w:val="2"/>
          <w:numId w:val="5"/>
        </w:numPr>
        <w:tabs>
          <w:tab w:val="left" w:pos="1346"/>
        </w:tabs>
        <w:spacing w:line="360" w:lineRule="auto"/>
        <w:ind w:right="691" w:firstLine="420"/>
        <w:jc w:val="both"/>
        <w:rPr>
          <w:sz w:val="21"/>
          <w:highlight w:val="none"/>
        </w:rPr>
      </w:pPr>
      <w:r>
        <w:rPr>
          <w:spacing w:val="-5"/>
          <w:sz w:val="21"/>
          <w:highlight w:val="none"/>
        </w:rPr>
        <w:t xml:space="preserve">中标人不能按本章第 </w:t>
      </w:r>
      <w:r>
        <w:rPr>
          <w:rFonts w:ascii="Times New Roman" w:eastAsia="Times New Roman"/>
          <w:sz w:val="21"/>
          <w:highlight w:val="none"/>
        </w:rPr>
        <w:t>7.6.1</w:t>
      </w:r>
      <w:r>
        <w:rPr>
          <w:rFonts w:ascii="Times New Roman" w:eastAsia="Times New Roman"/>
          <w:spacing w:val="31"/>
          <w:sz w:val="21"/>
          <w:highlight w:val="none"/>
        </w:rPr>
        <w:t xml:space="preserve"> </w:t>
      </w:r>
      <w:r>
        <w:rPr>
          <w:spacing w:val="-3"/>
          <w:sz w:val="21"/>
          <w:highlight w:val="none"/>
        </w:rPr>
        <w:t>项要求提交履约保证金的，视为放弃中标，其投标保证金不予退还，给招标人造成的损失超过投标保证金数额的，中标人还应当对超过部分予以赔偿。</w:t>
      </w:r>
    </w:p>
    <w:p>
      <w:pPr>
        <w:pStyle w:val="5"/>
        <w:numPr>
          <w:ilvl w:val="1"/>
          <w:numId w:val="5"/>
        </w:numPr>
        <w:tabs>
          <w:tab w:val="left" w:pos="1027"/>
        </w:tabs>
        <w:spacing w:before="146"/>
        <w:ind w:hanging="489"/>
        <w:rPr>
          <w:highlight w:val="none"/>
        </w:rPr>
      </w:pPr>
      <w:bookmarkStart w:id="122" w:name="_bookmark66"/>
      <w:bookmarkEnd w:id="122"/>
      <w:bookmarkStart w:id="123" w:name="_Toc14506"/>
      <w:r>
        <w:rPr>
          <w:highlight w:val="none"/>
        </w:rPr>
        <w:t>签订合同</w:t>
      </w:r>
      <w:bookmarkEnd w:id="123"/>
    </w:p>
    <w:p>
      <w:pPr>
        <w:pStyle w:val="11"/>
        <w:spacing w:before="2"/>
        <w:rPr>
          <w:sz w:val="29"/>
          <w:highlight w:val="none"/>
        </w:rPr>
      </w:pPr>
    </w:p>
    <w:p>
      <w:pPr>
        <w:pStyle w:val="28"/>
        <w:numPr>
          <w:ilvl w:val="2"/>
          <w:numId w:val="5"/>
        </w:numPr>
        <w:tabs>
          <w:tab w:val="left" w:pos="1346"/>
        </w:tabs>
        <w:spacing w:line="357" w:lineRule="auto"/>
        <w:ind w:right="691" w:firstLine="420"/>
        <w:jc w:val="both"/>
        <w:rPr>
          <w:sz w:val="21"/>
          <w:highlight w:val="none"/>
        </w:rPr>
      </w:pPr>
      <w:r>
        <w:rPr>
          <w:spacing w:val="-4"/>
          <w:sz w:val="21"/>
          <w:highlight w:val="none"/>
        </w:rPr>
        <w:t xml:space="preserve">招标人和中标人应当在中标通知书发出之日起 </w:t>
      </w:r>
      <w:r>
        <w:rPr>
          <w:rFonts w:ascii="Times New Roman" w:eastAsia="Times New Roman"/>
          <w:sz w:val="21"/>
          <w:highlight w:val="none"/>
        </w:rPr>
        <w:t>30</w:t>
      </w:r>
      <w:r>
        <w:rPr>
          <w:rFonts w:ascii="Times New Roman" w:eastAsia="Times New Roman"/>
          <w:spacing w:val="34"/>
          <w:sz w:val="21"/>
          <w:highlight w:val="none"/>
        </w:rPr>
        <w:t xml:space="preserve"> </w:t>
      </w:r>
      <w:r>
        <w:rPr>
          <w:spacing w:val="-3"/>
          <w:sz w:val="21"/>
          <w:highlight w:val="none"/>
        </w:rPr>
        <w:t>日内，根据招标文件和中标人的投标文件订立书面合同。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pStyle w:val="28"/>
        <w:numPr>
          <w:ilvl w:val="2"/>
          <w:numId w:val="5"/>
        </w:numPr>
        <w:tabs>
          <w:tab w:val="left" w:pos="1346"/>
        </w:tabs>
        <w:spacing w:line="357" w:lineRule="auto"/>
        <w:ind w:right="691" w:firstLine="420"/>
        <w:jc w:val="both"/>
        <w:rPr>
          <w:sz w:val="21"/>
          <w:highlight w:val="none"/>
        </w:rPr>
      </w:pPr>
      <w:r>
        <w:rPr>
          <w:spacing w:val="-10"/>
          <w:sz w:val="21"/>
          <w:highlight w:val="none"/>
        </w:rPr>
        <w:t>发出中标通知书后，招标人无正当理由拒签合同，或者在签订合同时向中标人提出附</w:t>
      </w:r>
      <w:r>
        <w:rPr>
          <w:spacing w:val="-5"/>
          <w:sz w:val="21"/>
          <w:highlight w:val="none"/>
        </w:rPr>
        <w:t>加条件的，招标人向中标人退还投标保证金；给中标人造成损失的，还应当赔偿损失。</w:t>
      </w:r>
    </w:p>
    <w:p>
      <w:pPr>
        <w:pStyle w:val="28"/>
        <w:numPr>
          <w:ilvl w:val="2"/>
          <w:numId w:val="5"/>
        </w:numPr>
        <w:tabs>
          <w:tab w:val="left" w:pos="1294"/>
        </w:tabs>
        <w:spacing w:line="357" w:lineRule="auto"/>
        <w:ind w:right="691" w:firstLine="420"/>
        <w:jc w:val="both"/>
        <w:rPr>
          <w:sz w:val="21"/>
          <w:highlight w:val="none"/>
        </w:rPr>
      </w:pPr>
      <w:r>
        <w:rPr>
          <w:spacing w:val="-6"/>
          <w:sz w:val="21"/>
          <w:highlight w:val="none"/>
        </w:rPr>
        <w:t>联合体中标的，联合体各方应当共同与招标人签订合同，就中标项目向招标人承担连</w:t>
      </w:r>
      <w:r>
        <w:rPr>
          <w:spacing w:val="-4"/>
          <w:sz w:val="21"/>
          <w:highlight w:val="none"/>
        </w:rPr>
        <w:t>带责任。</w:t>
      </w:r>
    </w:p>
    <w:p>
      <w:pPr>
        <w:pStyle w:val="4"/>
        <w:numPr>
          <w:ilvl w:val="0"/>
          <w:numId w:val="5"/>
        </w:numPr>
        <w:tabs>
          <w:tab w:val="left" w:pos="643"/>
        </w:tabs>
        <w:spacing w:before="41"/>
        <w:ind w:left="642" w:hanging="242"/>
        <w:rPr>
          <w:highlight w:val="none"/>
        </w:rPr>
      </w:pPr>
      <w:bookmarkStart w:id="124" w:name="_bookmark67"/>
      <w:bookmarkEnd w:id="124"/>
      <w:bookmarkStart w:id="125" w:name="_Toc30400"/>
      <w:bookmarkStart w:id="126" w:name="_Toc16940"/>
      <w:r>
        <w:rPr>
          <w:highlight w:val="none"/>
        </w:rPr>
        <w:t>纪律和监督</w:t>
      </w:r>
      <w:bookmarkEnd w:id="125"/>
      <w:bookmarkEnd w:id="126"/>
    </w:p>
    <w:p>
      <w:pPr>
        <w:pStyle w:val="11"/>
        <w:spacing w:before="10"/>
        <w:rPr>
          <w:rFonts w:ascii="Microsoft JhengHei"/>
          <w:b/>
          <w:sz w:val="26"/>
          <w:highlight w:val="none"/>
        </w:rPr>
      </w:pPr>
    </w:p>
    <w:p>
      <w:pPr>
        <w:pStyle w:val="5"/>
        <w:numPr>
          <w:ilvl w:val="1"/>
          <w:numId w:val="5"/>
        </w:numPr>
        <w:tabs>
          <w:tab w:val="left" w:pos="1027"/>
        </w:tabs>
        <w:spacing w:before="1"/>
        <w:ind w:hanging="489"/>
        <w:rPr>
          <w:highlight w:val="none"/>
        </w:rPr>
      </w:pPr>
      <w:bookmarkStart w:id="127" w:name="_bookmark68"/>
      <w:bookmarkEnd w:id="127"/>
      <w:bookmarkStart w:id="128" w:name="_Toc10568"/>
      <w:r>
        <w:rPr>
          <w:spacing w:val="-2"/>
          <w:highlight w:val="none"/>
        </w:rPr>
        <w:t>对招标人的纪律要求</w:t>
      </w:r>
      <w:bookmarkEnd w:id="128"/>
    </w:p>
    <w:p>
      <w:pPr>
        <w:pStyle w:val="11"/>
        <w:spacing w:before="1"/>
        <w:rPr>
          <w:sz w:val="29"/>
          <w:highlight w:val="none"/>
        </w:rPr>
      </w:pPr>
    </w:p>
    <w:p>
      <w:pPr>
        <w:pStyle w:val="11"/>
        <w:spacing w:before="1" w:line="355" w:lineRule="auto"/>
        <w:ind w:left="400" w:right="585" w:firstLine="419"/>
        <w:rPr>
          <w:highlight w:val="none"/>
        </w:rPr>
      </w:pPr>
      <w:r>
        <w:rPr>
          <w:spacing w:val="-6"/>
          <w:highlight w:val="none"/>
        </w:rPr>
        <w:t>招标人不得泄露招标投标活动中应当保密的情况和资料，不得与投标人串通损害国家利益、</w:t>
      </w:r>
      <w:r>
        <w:rPr>
          <w:spacing w:val="-4"/>
          <w:highlight w:val="none"/>
        </w:rPr>
        <w:t>社会公共利益或者他人合法权益。</w:t>
      </w:r>
    </w:p>
    <w:p>
      <w:pPr>
        <w:pStyle w:val="5"/>
        <w:numPr>
          <w:ilvl w:val="1"/>
          <w:numId w:val="5"/>
        </w:numPr>
        <w:tabs>
          <w:tab w:val="left" w:pos="1027"/>
        </w:tabs>
        <w:spacing w:before="154"/>
        <w:ind w:hanging="489"/>
        <w:rPr>
          <w:highlight w:val="none"/>
        </w:rPr>
      </w:pPr>
      <w:bookmarkStart w:id="129" w:name="_bookmark69"/>
      <w:bookmarkEnd w:id="129"/>
      <w:bookmarkStart w:id="130" w:name="_Toc32314"/>
      <w:r>
        <w:rPr>
          <w:spacing w:val="-2"/>
          <w:highlight w:val="none"/>
        </w:rPr>
        <w:t>对投标人的纪律要求</w:t>
      </w:r>
      <w:bookmarkEnd w:id="130"/>
    </w:p>
    <w:p>
      <w:pPr>
        <w:pStyle w:val="11"/>
        <w:spacing w:before="2"/>
        <w:rPr>
          <w:sz w:val="29"/>
          <w:highlight w:val="none"/>
        </w:rPr>
      </w:pPr>
    </w:p>
    <w:p>
      <w:pPr>
        <w:pStyle w:val="11"/>
        <w:spacing w:line="357" w:lineRule="auto"/>
        <w:ind w:left="400" w:right="694" w:firstLine="419"/>
        <w:jc w:val="both"/>
        <w:rPr>
          <w:highlight w:val="none"/>
        </w:rPr>
      </w:pPr>
      <w:r>
        <w:rPr>
          <w:highlight w:val="none"/>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5"/>
        <w:numPr>
          <w:ilvl w:val="1"/>
          <w:numId w:val="5"/>
        </w:numPr>
        <w:tabs>
          <w:tab w:val="left" w:pos="1027"/>
        </w:tabs>
        <w:spacing w:before="148"/>
        <w:ind w:hanging="489"/>
        <w:rPr>
          <w:highlight w:val="none"/>
        </w:rPr>
      </w:pPr>
      <w:bookmarkStart w:id="131" w:name="_bookmark70"/>
      <w:bookmarkEnd w:id="131"/>
      <w:bookmarkStart w:id="132" w:name="_Toc24835"/>
      <w:r>
        <w:rPr>
          <w:spacing w:val="-3"/>
          <w:highlight w:val="none"/>
        </w:rPr>
        <w:t>对评标委员会成员的纪律要求</w:t>
      </w:r>
      <w:bookmarkEnd w:id="132"/>
    </w:p>
    <w:p>
      <w:pPr>
        <w:pStyle w:val="11"/>
        <w:spacing w:before="2"/>
        <w:rPr>
          <w:sz w:val="29"/>
          <w:highlight w:val="none"/>
        </w:rPr>
      </w:pPr>
    </w:p>
    <w:p>
      <w:pPr>
        <w:pStyle w:val="11"/>
        <w:spacing w:line="357" w:lineRule="auto"/>
        <w:ind w:left="400" w:right="694" w:firstLine="419"/>
        <w:jc w:val="both"/>
        <w:rPr>
          <w:highlight w:val="none"/>
        </w:rPr>
      </w:pPr>
      <w:r>
        <w:rPr>
          <w:highlight w:val="none"/>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w:t>
      </w:r>
    </w:p>
    <w:p>
      <w:pPr>
        <w:pStyle w:val="11"/>
        <w:spacing w:before="49"/>
        <w:rPr>
          <w:highlight w:val="none"/>
        </w:rPr>
      </w:pPr>
      <w:r>
        <w:rPr>
          <w:rFonts w:hint="eastAsia"/>
          <w:highlight w:val="none"/>
          <w:lang w:val="en-US"/>
        </w:rPr>
        <w:t xml:space="preserve">    </w:t>
      </w:r>
      <w:r>
        <w:rPr>
          <w:highlight w:val="none"/>
        </w:rPr>
        <w:t>三章</w:t>
      </w:r>
      <w:r>
        <w:rPr>
          <w:rFonts w:ascii="Times New Roman" w:hAnsi="Times New Roman" w:eastAsia="Times New Roman"/>
          <w:i/>
          <w:highlight w:val="none"/>
        </w:rPr>
        <w:t>“</w:t>
      </w:r>
      <w:r>
        <w:rPr>
          <w:highlight w:val="none"/>
        </w:rPr>
        <w:t>评标办法</w:t>
      </w:r>
      <w:r>
        <w:rPr>
          <w:rFonts w:ascii="Times New Roman" w:hAnsi="Times New Roman" w:eastAsia="Times New Roman"/>
          <w:i/>
          <w:highlight w:val="none"/>
        </w:rPr>
        <w:t>”</w:t>
      </w:r>
      <w:r>
        <w:rPr>
          <w:highlight w:val="none"/>
        </w:rPr>
        <w:t>没有规定的评审因素和标准进行评标。</w:t>
      </w:r>
    </w:p>
    <w:p>
      <w:pPr>
        <w:pStyle w:val="11"/>
        <w:spacing w:before="1"/>
        <w:rPr>
          <w:sz w:val="22"/>
          <w:highlight w:val="none"/>
        </w:rPr>
      </w:pPr>
    </w:p>
    <w:p>
      <w:pPr>
        <w:pStyle w:val="5"/>
        <w:numPr>
          <w:ilvl w:val="1"/>
          <w:numId w:val="5"/>
        </w:numPr>
        <w:tabs>
          <w:tab w:val="left" w:pos="1027"/>
        </w:tabs>
        <w:ind w:hanging="489"/>
        <w:rPr>
          <w:highlight w:val="none"/>
        </w:rPr>
      </w:pPr>
      <w:bookmarkStart w:id="133" w:name="_bookmark71"/>
      <w:bookmarkEnd w:id="133"/>
      <w:bookmarkStart w:id="134" w:name="_Toc21112"/>
      <w:r>
        <w:rPr>
          <w:spacing w:val="-3"/>
          <w:highlight w:val="none"/>
        </w:rPr>
        <w:t>对与评标活动有关的工作人员的纪律要求</w:t>
      </w:r>
      <w:bookmarkEnd w:id="134"/>
    </w:p>
    <w:p>
      <w:pPr>
        <w:pStyle w:val="11"/>
        <w:spacing w:before="2"/>
        <w:rPr>
          <w:sz w:val="29"/>
          <w:highlight w:val="none"/>
        </w:rPr>
      </w:pPr>
    </w:p>
    <w:p>
      <w:pPr>
        <w:pStyle w:val="11"/>
        <w:spacing w:line="357" w:lineRule="auto"/>
        <w:ind w:left="400" w:right="694" w:firstLine="419"/>
        <w:jc w:val="both"/>
        <w:rPr>
          <w:highlight w:val="none"/>
        </w:rPr>
      </w:pPr>
      <w:r>
        <w:rPr>
          <w:highlight w:val="none"/>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pStyle w:val="5"/>
        <w:numPr>
          <w:ilvl w:val="1"/>
          <w:numId w:val="5"/>
        </w:numPr>
        <w:tabs>
          <w:tab w:val="left" w:pos="1027"/>
        </w:tabs>
        <w:spacing w:before="148"/>
        <w:ind w:hanging="489"/>
        <w:rPr>
          <w:highlight w:val="none"/>
        </w:rPr>
      </w:pPr>
      <w:bookmarkStart w:id="135" w:name="_bookmark72"/>
      <w:bookmarkEnd w:id="135"/>
      <w:bookmarkStart w:id="136" w:name="_Toc13467"/>
      <w:r>
        <w:rPr>
          <w:highlight w:val="none"/>
        </w:rPr>
        <w:t>投诉</w:t>
      </w:r>
      <w:bookmarkEnd w:id="136"/>
    </w:p>
    <w:p>
      <w:pPr>
        <w:pStyle w:val="11"/>
        <w:spacing w:before="3"/>
        <w:rPr>
          <w:sz w:val="29"/>
          <w:highlight w:val="none"/>
        </w:rPr>
      </w:pPr>
    </w:p>
    <w:p>
      <w:pPr>
        <w:pStyle w:val="28"/>
        <w:numPr>
          <w:ilvl w:val="2"/>
          <w:numId w:val="5"/>
        </w:numPr>
        <w:tabs>
          <w:tab w:val="left" w:pos="1346"/>
        </w:tabs>
        <w:spacing w:line="357" w:lineRule="auto"/>
        <w:ind w:right="693" w:firstLine="420"/>
        <w:jc w:val="both"/>
        <w:rPr>
          <w:sz w:val="21"/>
          <w:highlight w:val="none"/>
        </w:rPr>
      </w:pPr>
      <w:r>
        <w:rPr>
          <w:spacing w:val="-7"/>
          <w:sz w:val="21"/>
          <w:highlight w:val="none"/>
        </w:rPr>
        <w:t>投标人或者其他利害关系人认为招标投标活动不符合法律、行政法规规定的，可以自</w:t>
      </w:r>
      <w:r>
        <w:rPr>
          <w:spacing w:val="-8"/>
          <w:sz w:val="21"/>
          <w:highlight w:val="none"/>
        </w:rPr>
        <w:t xml:space="preserve">知道或者应当知道之日起 </w:t>
      </w:r>
      <w:r>
        <w:rPr>
          <w:rFonts w:ascii="Times New Roman" w:eastAsia="Times New Roman"/>
          <w:sz w:val="21"/>
          <w:highlight w:val="none"/>
        </w:rPr>
        <w:t>10</w:t>
      </w:r>
      <w:r>
        <w:rPr>
          <w:rFonts w:ascii="Times New Roman" w:eastAsia="Times New Roman"/>
          <w:spacing w:val="22"/>
          <w:sz w:val="21"/>
          <w:highlight w:val="none"/>
        </w:rPr>
        <w:t xml:space="preserve"> </w:t>
      </w:r>
      <w:r>
        <w:rPr>
          <w:spacing w:val="-9"/>
          <w:sz w:val="21"/>
          <w:highlight w:val="none"/>
        </w:rPr>
        <w:t>日内向有关行政监督部门投诉。投诉应当有明确的请求和必要的证</w:t>
      </w:r>
      <w:r>
        <w:rPr>
          <w:spacing w:val="-6"/>
          <w:sz w:val="21"/>
          <w:highlight w:val="none"/>
        </w:rPr>
        <w:t>明材料。</w:t>
      </w:r>
    </w:p>
    <w:p>
      <w:pPr>
        <w:pStyle w:val="28"/>
        <w:numPr>
          <w:ilvl w:val="2"/>
          <w:numId w:val="5"/>
        </w:numPr>
        <w:tabs>
          <w:tab w:val="left" w:pos="1346"/>
        </w:tabs>
        <w:spacing w:line="357" w:lineRule="auto"/>
        <w:ind w:right="693" w:firstLine="420"/>
        <w:jc w:val="both"/>
        <w:rPr>
          <w:sz w:val="21"/>
          <w:highlight w:val="none"/>
        </w:rPr>
      </w:pPr>
      <w:r>
        <w:rPr>
          <w:spacing w:val="-8"/>
          <w:sz w:val="21"/>
          <w:highlight w:val="none"/>
        </w:rPr>
        <w:t>投标人或者其他利害关系人对招标文件、开标和评标结果提出投诉的，应当按照投标</w:t>
      </w:r>
      <w:r>
        <w:rPr>
          <w:spacing w:val="-17"/>
          <w:sz w:val="21"/>
          <w:highlight w:val="none"/>
        </w:rPr>
        <w:t xml:space="preserve">人须知第 </w:t>
      </w:r>
      <w:r>
        <w:rPr>
          <w:rFonts w:ascii="Times New Roman" w:eastAsia="Times New Roman"/>
          <w:sz w:val="21"/>
          <w:highlight w:val="none"/>
        </w:rPr>
        <w:t>2.4</w:t>
      </w:r>
      <w:r>
        <w:rPr>
          <w:rFonts w:ascii="Times New Roman" w:eastAsia="Times New Roman"/>
          <w:spacing w:val="-6"/>
          <w:sz w:val="21"/>
          <w:highlight w:val="none"/>
        </w:rPr>
        <w:t xml:space="preserve"> </w:t>
      </w:r>
      <w:r>
        <w:rPr>
          <w:spacing w:val="-43"/>
          <w:sz w:val="21"/>
          <w:highlight w:val="none"/>
        </w:rPr>
        <w:t xml:space="preserve">款、第 </w:t>
      </w:r>
      <w:r>
        <w:rPr>
          <w:rFonts w:ascii="Times New Roman" w:eastAsia="Times New Roman"/>
          <w:sz w:val="21"/>
          <w:highlight w:val="none"/>
        </w:rPr>
        <w:t>5.3</w:t>
      </w:r>
      <w:r>
        <w:rPr>
          <w:rFonts w:ascii="Times New Roman" w:eastAsia="Times New Roman"/>
          <w:spacing w:val="-6"/>
          <w:sz w:val="21"/>
          <w:highlight w:val="none"/>
        </w:rPr>
        <w:t xml:space="preserve"> </w:t>
      </w:r>
      <w:r>
        <w:rPr>
          <w:spacing w:val="-16"/>
          <w:sz w:val="21"/>
          <w:highlight w:val="none"/>
        </w:rPr>
        <w:t xml:space="preserve">款和第 </w:t>
      </w:r>
      <w:r>
        <w:rPr>
          <w:rFonts w:ascii="Times New Roman" w:eastAsia="Times New Roman"/>
          <w:sz w:val="21"/>
          <w:highlight w:val="none"/>
        </w:rPr>
        <w:t>7.2</w:t>
      </w:r>
      <w:r>
        <w:rPr>
          <w:rFonts w:ascii="Times New Roman" w:eastAsia="Times New Roman"/>
          <w:spacing w:val="-5"/>
          <w:sz w:val="21"/>
          <w:highlight w:val="none"/>
        </w:rPr>
        <w:t xml:space="preserve"> </w:t>
      </w:r>
      <w:r>
        <w:rPr>
          <w:spacing w:val="-13"/>
          <w:sz w:val="21"/>
          <w:highlight w:val="none"/>
        </w:rPr>
        <w:t xml:space="preserve">款的规定先向招标人提出异议。异议答复期间不计算在第 </w:t>
      </w:r>
      <w:r>
        <w:rPr>
          <w:rFonts w:ascii="Times New Roman" w:eastAsia="Times New Roman"/>
          <w:sz w:val="21"/>
          <w:highlight w:val="none"/>
        </w:rPr>
        <w:t xml:space="preserve">8.5.1 </w:t>
      </w:r>
      <w:r>
        <w:rPr>
          <w:spacing w:val="-3"/>
          <w:sz w:val="21"/>
          <w:highlight w:val="none"/>
        </w:rPr>
        <w:t>项规定的期限内。</w:t>
      </w:r>
    </w:p>
    <w:p>
      <w:pPr>
        <w:pStyle w:val="4"/>
        <w:numPr>
          <w:ilvl w:val="0"/>
          <w:numId w:val="5"/>
        </w:numPr>
        <w:tabs>
          <w:tab w:val="left" w:pos="802"/>
        </w:tabs>
        <w:spacing w:before="41"/>
        <w:rPr>
          <w:highlight w:val="none"/>
        </w:rPr>
      </w:pPr>
      <w:bookmarkStart w:id="137" w:name="_bookmark73"/>
      <w:bookmarkEnd w:id="137"/>
      <w:bookmarkStart w:id="138" w:name="_Toc7908"/>
      <w:bookmarkStart w:id="139" w:name="_Toc22769"/>
      <w:r>
        <w:rPr>
          <w:rFonts w:hint="eastAsia" w:ascii="宋体" w:hAnsi="宋体" w:eastAsia="宋体" w:cs="宋体"/>
          <w:highlight w:val="none"/>
        </w:rPr>
        <w:t>是否采用电子招标投标</w:t>
      </w:r>
      <w:bookmarkEnd w:id="138"/>
      <w:bookmarkEnd w:id="139"/>
    </w:p>
    <w:p>
      <w:pPr>
        <w:pStyle w:val="11"/>
        <w:spacing w:before="299"/>
        <w:ind w:left="820"/>
        <w:rPr>
          <w:highlight w:val="none"/>
        </w:rPr>
      </w:pPr>
      <w:r>
        <w:rPr>
          <w:highlight w:val="none"/>
        </w:rPr>
        <w:t>本招标项目是否采用电子招标投标方式，见投标人须知前附表。</w:t>
      </w:r>
    </w:p>
    <w:p>
      <w:pPr>
        <w:pStyle w:val="4"/>
        <w:numPr>
          <w:ilvl w:val="0"/>
          <w:numId w:val="5"/>
        </w:numPr>
        <w:tabs>
          <w:tab w:val="left" w:pos="960"/>
        </w:tabs>
        <w:spacing w:before="178"/>
        <w:ind w:left="959" w:hanging="559"/>
        <w:rPr>
          <w:highlight w:val="none"/>
        </w:rPr>
      </w:pPr>
      <w:bookmarkStart w:id="140" w:name="_bookmark74"/>
      <w:bookmarkEnd w:id="140"/>
      <w:bookmarkStart w:id="141" w:name="_Toc2563"/>
      <w:bookmarkStart w:id="142" w:name="_Toc20834"/>
      <w:r>
        <w:rPr>
          <w:rFonts w:hint="eastAsia" w:ascii="宋体" w:hAnsi="宋体" w:eastAsia="宋体" w:cs="宋体"/>
          <w:highlight w:val="none"/>
        </w:rPr>
        <w:t>需要补充的其他内容</w:t>
      </w:r>
      <w:bookmarkEnd w:id="141"/>
      <w:bookmarkEnd w:id="142"/>
    </w:p>
    <w:p>
      <w:pPr>
        <w:pStyle w:val="11"/>
        <w:spacing w:before="299"/>
        <w:ind w:left="820"/>
        <w:rPr>
          <w:highlight w:val="none"/>
        </w:rPr>
      </w:pPr>
      <w:r>
        <w:rPr>
          <w:highlight w:val="none"/>
        </w:rPr>
        <w:t>需要补充的其他内容：见投标人须知前附表。</w:t>
      </w:r>
    </w:p>
    <w:p>
      <w:pPr>
        <w:rPr>
          <w:highlight w:val="none"/>
        </w:rPr>
        <w:sectPr>
          <w:pgSz w:w="12240" w:h="15840"/>
          <w:pgMar w:top="1500" w:right="1100" w:bottom="1120" w:left="1400" w:header="0" w:footer="841" w:gutter="0"/>
          <w:cols w:space="720" w:num="1"/>
        </w:sectPr>
      </w:pPr>
    </w:p>
    <w:p>
      <w:pPr>
        <w:pStyle w:val="5"/>
        <w:spacing w:before="43"/>
        <w:ind w:left="537" w:firstLine="0"/>
        <w:rPr>
          <w:highlight w:val="none"/>
        </w:rPr>
      </w:pPr>
      <w:bookmarkStart w:id="143" w:name="_bookmark75"/>
      <w:bookmarkEnd w:id="143"/>
      <w:bookmarkStart w:id="144" w:name="_Toc15243"/>
      <w:r>
        <w:rPr>
          <w:highlight w:val="none"/>
        </w:rPr>
        <w:t>附件一：开标记录表</w:t>
      </w:r>
      <w:bookmarkEnd w:id="144"/>
    </w:p>
    <w:p>
      <w:pPr>
        <w:pStyle w:val="11"/>
        <w:rPr>
          <w:sz w:val="20"/>
          <w:highlight w:val="none"/>
        </w:rPr>
      </w:pPr>
    </w:p>
    <w:p>
      <w:pPr>
        <w:pStyle w:val="11"/>
        <w:spacing w:before="8"/>
        <w:rPr>
          <w:highlight w:val="none"/>
        </w:rPr>
      </w:pPr>
    </w:p>
    <w:p>
      <w:pPr>
        <w:spacing w:before="61"/>
        <w:ind w:right="296"/>
        <w:jc w:val="center"/>
        <w:rPr>
          <w:sz w:val="28"/>
          <w:highlight w:val="none"/>
        </w:rPr>
      </w:pPr>
      <w:r>
        <w:rPr>
          <w:sz w:val="28"/>
          <w:highlight w:val="none"/>
        </w:rPr>
        <w:t>开标记录表</w:t>
      </w:r>
    </w:p>
    <w:p>
      <w:pPr>
        <w:pStyle w:val="11"/>
        <w:tabs>
          <w:tab w:val="left" w:pos="3794"/>
          <w:tab w:val="left" w:pos="4948"/>
          <w:tab w:val="left" w:pos="6103"/>
          <w:tab w:val="left" w:pos="7258"/>
          <w:tab w:val="left" w:pos="8413"/>
        </w:tabs>
        <w:spacing w:before="237"/>
        <w:ind w:left="1797"/>
        <w:rPr>
          <w:highlight w:val="none"/>
        </w:rPr>
      </w:pPr>
      <w:r>
        <w:rPr>
          <w:highlight w:val="none"/>
        </w:rPr>
        <w:t>开标</w:t>
      </w:r>
      <w:r>
        <w:rPr>
          <w:spacing w:val="-3"/>
          <w:highlight w:val="none"/>
        </w:rPr>
        <w:t>时</w:t>
      </w:r>
      <w:r>
        <w:rPr>
          <w:highlight w:val="none"/>
        </w:rPr>
        <w:t>间：</w:t>
      </w:r>
      <w:r>
        <w:rPr>
          <w:highlight w:val="none"/>
          <w:u w:val="single"/>
        </w:rPr>
        <w:t xml:space="preserve"> </w:t>
      </w:r>
      <w:r>
        <w:rPr>
          <w:highlight w:val="none"/>
          <w:u w:val="single"/>
        </w:rPr>
        <w:tab/>
      </w:r>
      <w:r>
        <w:rPr>
          <w:highlight w:val="none"/>
        </w:rPr>
        <w:t>年</w:t>
      </w:r>
      <w:r>
        <w:rPr>
          <w:highlight w:val="none"/>
          <w:u w:val="single"/>
        </w:rPr>
        <w:t xml:space="preserve"> </w:t>
      </w:r>
      <w:r>
        <w:rPr>
          <w:highlight w:val="none"/>
          <w:u w:val="single"/>
        </w:rPr>
        <w:tab/>
      </w:r>
      <w:r>
        <w:rPr>
          <w:highlight w:val="none"/>
        </w:rPr>
        <w:t>月</w:t>
      </w:r>
      <w:r>
        <w:rPr>
          <w:highlight w:val="none"/>
          <w:u w:val="single"/>
        </w:rPr>
        <w:t xml:space="preserve"> </w:t>
      </w:r>
      <w:r>
        <w:rPr>
          <w:highlight w:val="none"/>
          <w:u w:val="single"/>
        </w:rPr>
        <w:tab/>
      </w:r>
      <w:r>
        <w:rPr>
          <w:highlight w:val="none"/>
        </w:rPr>
        <w:t>日</w:t>
      </w:r>
      <w:r>
        <w:rPr>
          <w:highlight w:val="none"/>
          <w:u w:val="single"/>
        </w:rPr>
        <w:t xml:space="preserve"> </w:t>
      </w:r>
      <w:r>
        <w:rPr>
          <w:highlight w:val="none"/>
          <w:u w:val="single"/>
        </w:rPr>
        <w:tab/>
      </w:r>
      <w:r>
        <w:rPr>
          <w:highlight w:val="none"/>
        </w:rPr>
        <w:t>时</w:t>
      </w:r>
      <w:r>
        <w:rPr>
          <w:highlight w:val="none"/>
          <w:u w:val="single"/>
        </w:rPr>
        <w:t xml:space="preserve"> </w:t>
      </w:r>
      <w:r>
        <w:rPr>
          <w:highlight w:val="none"/>
          <w:u w:val="single"/>
        </w:rPr>
        <w:tab/>
      </w:r>
      <w:r>
        <w:rPr>
          <w:highlight w:val="none"/>
        </w:rPr>
        <w:t>分</w:t>
      </w:r>
    </w:p>
    <w:p>
      <w:pPr>
        <w:pStyle w:val="11"/>
        <w:spacing w:before="1"/>
        <w:rPr>
          <w:sz w:val="11"/>
          <w:highlight w:val="none"/>
        </w:rPr>
      </w:pPr>
    </w:p>
    <w:tbl>
      <w:tblPr>
        <w:tblStyle w:val="22"/>
        <w:tblW w:w="10097" w:type="dxa"/>
        <w:tblInd w:w="-2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13"/>
        <w:gridCol w:w="3129"/>
        <w:gridCol w:w="1410"/>
        <w:gridCol w:w="1631"/>
        <w:gridCol w:w="1250"/>
        <w:gridCol w:w="16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0" w:hRule="atLeast"/>
        </w:trPr>
        <w:tc>
          <w:tcPr>
            <w:tcW w:w="1013" w:type="dxa"/>
          </w:tcPr>
          <w:p>
            <w:pPr>
              <w:pStyle w:val="29"/>
              <w:jc w:val="center"/>
              <w:rPr>
                <w:sz w:val="18"/>
                <w:highlight w:val="none"/>
              </w:rPr>
            </w:pPr>
          </w:p>
          <w:p>
            <w:pPr>
              <w:pStyle w:val="29"/>
              <w:spacing w:before="8"/>
              <w:jc w:val="center"/>
              <w:rPr>
                <w:sz w:val="18"/>
                <w:highlight w:val="none"/>
              </w:rPr>
            </w:pPr>
          </w:p>
          <w:p>
            <w:pPr>
              <w:pStyle w:val="29"/>
              <w:spacing w:before="1"/>
              <w:ind w:left="143"/>
              <w:jc w:val="center"/>
              <w:rPr>
                <w:sz w:val="18"/>
                <w:highlight w:val="none"/>
              </w:rPr>
            </w:pPr>
            <w:r>
              <w:rPr>
                <w:sz w:val="18"/>
                <w:highlight w:val="none"/>
              </w:rPr>
              <w:t>序号</w:t>
            </w:r>
          </w:p>
        </w:tc>
        <w:tc>
          <w:tcPr>
            <w:tcW w:w="3129" w:type="dxa"/>
          </w:tcPr>
          <w:p>
            <w:pPr>
              <w:pStyle w:val="29"/>
              <w:jc w:val="center"/>
              <w:rPr>
                <w:sz w:val="18"/>
                <w:highlight w:val="none"/>
              </w:rPr>
            </w:pPr>
          </w:p>
          <w:p>
            <w:pPr>
              <w:pStyle w:val="29"/>
              <w:spacing w:before="8"/>
              <w:jc w:val="center"/>
              <w:rPr>
                <w:sz w:val="18"/>
                <w:highlight w:val="none"/>
              </w:rPr>
            </w:pPr>
          </w:p>
          <w:p>
            <w:pPr>
              <w:pStyle w:val="29"/>
              <w:spacing w:before="1"/>
              <w:ind w:left="239"/>
              <w:jc w:val="center"/>
              <w:rPr>
                <w:sz w:val="18"/>
                <w:highlight w:val="none"/>
              </w:rPr>
            </w:pPr>
            <w:r>
              <w:rPr>
                <w:sz w:val="18"/>
                <w:highlight w:val="none"/>
              </w:rPr>
              <w:t>投标人</w:t>
            </w:r>
          </w:p>
        </w:tc>
        <w:tc>
          <w:tcPr>
            <w:tcW w:w="1410" w:type="dxa"/>
          </w:tcPr>
          <w:p>
            <w:pPr>
              <w:pStyle w:val="29"/>
              <w:jc w:val="center"/>
              <w:rPr>
                <w:sz w:val="18"/>
                <w:highlight w:val="none"/>
              </w:rPr>
            </w:pPr>
          </w:p>
          <w:p>
            <w:pPr>
              <w:pStyle w:val="29"/>
              <w:spacing w:before="8"/>
              <w:jc w:val="center"/>
              <w:rPr>
                <w:sz w:val="18"/>
                <w:highlight w:val="none"/>
              </w:rPr>
            </w:pPr>
          </w:p>
          <w:p>
            <w:pPr>
              <w:pStyle w:val="29"/>
              <w:spacing w:before="1"/>
              <w:ind w:left="107"/>
              <w:jc w:val="center"/>
              <w:rPr>
                <w:sz w:val="18"/>
                <w:highlight w:val="none"/>
              </w:rPr>
            </w:pPr>
            <w:r>
              <w:rPr>
                <w:sz w:val="18"/>
                <w:highlight w:val="none"/>
              </w:rPr>
              <w:t>密封情况</w:t>
            </w:r>
          </w:p>
        </w:tc>
        <w:tc>
          <w:tcPr>
            <w:tcW w:w="1631" w:type="dxa"/>
          </w:tcPr>
          <w:p>
            <w:pPr>
              <w:pStyle w:val="29"/>
              <w:jc w:val="center"/>
              <w:rPr>
                <w:sz w:val="18"/>
                <w:highlight w:val="none"/>
              </w:rPr>
            </w:pPr>
          </w:p>
          <w:p>
            <w:pPr>
              <w:pStyle w:val="29"/>
              <w:spacing w:before="8"/>
              <w:jc w:val="center"/>
              <w:rPr>
                <w:sz w:val="18"/>
                <w:highlight w:val="none"/>
              </w:rPr>
            </w:pPr>
          </w:p>
          <w:p>
            <w:pPr>
              <w:pStyle w:val="29"/>
              <w:spacing w:before="1"/>
              <w:jc w:val="center"/>
              <w:rPr>
                <w:sz w:val="18"/>
                <w:highlight w:val="none"/>
              </w:rPr>
            </w:pPr>
            <w:r>
              <w:rPr>
                <w:sz w:val="18"/>
                <w:highlight w:val="none"/>
              </w:rPr>
              <w:t>投标保证金</w:t>
            </w:r>
          </w:p>
        </w:tc>
        <w:tc>
          <w:tcPr>
            <w:tcW w:w="1250" w:type="dxa"/>
          </w:tcPr>
          <w:p>
            <w:pPr>
              <w:pStyle w:val="29"/>
              <w:jc w:val="center"/>
              <w:rPr>
                <w:sz w:val="18"/>
                <w:highlight w:val="none"/>
              </w:rPr>
            </w:pPr>
          </w:p>
          <w:p>
            <w:pPr>
              <w:pStyle w:val="29"/>
              <w:spacing w:before="8"/>
              <w:jc w:val="center"/>
              <w:rPr>
                <w:sz w:val="18"/>
                <w:highlight w:val="none"/>
              </w:rPr>
            </w:pPr>
          </w:p>
          <w:p>
            <w:pPr>
              <w:pStyle w:val="29"/>
              <w:spacing w:before="1"/>
              <w:ind w:left="244"/>
              <w:jc w:val="center"/>
              <w:rPr>
                <w:sz w:val="18"/>
                <w:highlight w:val="none"/>
              </w:rPr>
            </w:pPr>
            <w:r>
              <w:rPr>
                <w:sz w:val="18"/>
                <w:highlight w:val="none"/>
              </w:rPr>
              <w:t>备注</w:t>
            </w:r>
          </w:p>
        </w:tc>
        <w:tc>
          <w:tcPr>
            <w:tcW w:w="1664" w:type="dxa"/>
          </w:tcPr>
          <w:p>
            <w:pPr>
              <w:pStyle w:val="29"/>
              <w:spacing w:before="2"/>
              <w:jc w:val="center"/>
              <w:rPr>
                <w:sz w:val="17"/>
                <w:highlight w:val="none"/>
              </w:rPr>
            </w:pPr>
          </w:p>
          <w:p>
            <w:pPr>
              <w:pStyle w:val="29"/>
              <w:ind w:left="92" w:right="90"/>
              <w:jc w:val="center"/>
              <w:rPr>
                <w:sz w:val="21"/>
                <w:highlight w:val="none"/>
              </w:rPr>
            </w:pPr>
            <w:r>
              <w:rPr>
                <w:sz w:val="18"/>
                <w:highlight w:val="none"/>
              </w:rPr>
              <w:t>投标人代表</w:t>
            </w:r>
          </w:p>
          <w:p>
            <w:pPr>
              <w:pStyle w:val="29"/>
              <w:ind w:left="92" w:right="88"/>
              <w:jc w:val="center"/>
              <w:rPr>
                <w:sz w:val="18"/>
                <w:highlight w:val="none"/>
              </w:rPr>
            </w:pPr>
            <w:r>
              <w:rPr>
                <w:sz w:val="18"/>
                <w:highlight w:val="none"/>
              </w:rPr>
              <w:t>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4" w:hRule="atLeast"/>
        </w:trPr>
        <w:tc>
          <w:tcPr>
            <w:tcW w:w="1013" w:type="dxa"/>
          </w:tcPr>
          <w:p>
            <w:pPr>
              <w:pStyle w:val="29"/>
              <w:rPr>
                <w:rFonts w:ascii="Times New Roman"/>
                <w:sz w:val="20"/>
                <w:highlight w:val="none"/>
              </w:rPr>
            </w:pPr>
          </w:p>
        </w:tc>
        <w:tc>
          <w:tcPr>
            <w:tcW w:w="3129" w:type="dxa"/>
          </w:tcPr>
          <w:p>
            <w:pPr>
              <w:pStyle w:val="29"/>
              <w:rPr>
                <w:rFonts w:ascii="Times New Roman"/>
                <w:sz w:val="20"/>
                <w:highlight w:val="none"/>
              </w:rPr>
            </w:pPr>
          </w:p>
        </w:tc>
        <w:tc>
          <w:tcPr>
            <w:tcW w:w="1410" w:type="dxa"/>
          </w:tcPr>
          <w:p>
            <w:pPr>
              <w:pStyle w:val="29"/>
              <w:rPr>
                <w:rFonts w:ascii="Times New Roman"/>
                <w:sz w:val="20"/>
                <w:highlight w:val="none"/>
              </w:rPr>
            </w:pPr>
          </w:p>
        </w:tc>
        <w:tc>
          <w:tcPr>
            <w:tcW w:w="1631" w:type="dxa"/>
          </w:tcPr>
          <w:p>
            <w:pPr>
              <w:pStyle w:val="29"/>
              <w:rPr>
                <w:rFonts w:ascii="Times New Roman"/>
                <w:sz w:val="20"/>
                <w:highlight w:val="none"/>
              </w:rPr>
            </w:pPr>
          </w:p>
        </w:tc>
        <w:tc>
          <w:tcPr>
            <w:tcW w:w="1250" w:type="dxa"/>
          </w:tcPr>
          <w:p>
            <w:pPr>
              <w:pStyle w:val="29"/>
              <w:rPr>
                <w:rFonts w:ascii="Times New Roman"/>
                <w:sz w:val="20"/>
                <w:highlight w:val="none"/>
              </w:rPr>
            </w:pPr>
          </w:p>
        </w:tc>
        <w:tc>
          <w:tcPr>
            <w:tcW w:w="1664" w:type="dxa"/>
          </w:tcPr>
          <w:p>
            <w:pPr>
              <w:pStyle w:val="29"/>
              <w:rPr>
                <w:rFonts w:ascii="Times New Roman"/>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013" w:type="dxa"/>
          </w:tcPr>
          <w:p>
            <w:pPr>
              <w:pStyle w:val="29"/>
              <w:rPr>
                <w:rFonts w:ascii="Times New Roman"/>
                <w:sz w:val="20"/>
                <w:highlight w:val="none"/>
              </w:rPr>
            </w:pPr>
          </w:p>
        </w:tc>
        <w:tc>
          <w:tcPr>
            <w:tcW w:w="3129" w:type="dxa"/>
          </w:tcPr>
          <w:p>
            <w:pPr>
              <w:pStyle w:val="29"/>
              <w:rPr>
                <w:rFonts w:ascii="Times New Roman"/>
                <w:sz w:val="20"/>
                <w:highlight w:val="none"/>
              </w:rPr>
            </w:pPr>
          </w:p>
        </w:tc>
        <w:tc>
          <w:tcPr>
            <w:tcW w:w="1410" w:type="dxa"/>
          </w:tcPr>
          <w:p>
            <w:pPr>
              <w:pStyle w:val="29"/>
              <w:rPr>
                <w:rFonts w:ascii="Times New Roman"/>
                <w:sz w:val="20"/>
                <w:highlight w:val="none"/>
              </w:rPr>
            </w:pPr>
          </w:p>
        </w:tc>
        <w:tc>
          <w:tcPr>
            <w:tcW w:w="1631" w:type="dxa"/>
          </w:tcPr>
          <w:p>
            <w:pPr>
              <w:pStyle w:val="29"/>
              <w:rPr>
                <w:rFonts w:ascii="Times New Roman"/>
                <w:sz w:val="20"/>
                <w:highlight w:val="none"/>
              </w:rPr>
            </w:pPr>
          </w:p>
        </w:tc>
        <w:tc>
          <w:tcPr>
            <w:tcW w:w="1250" w:type="dxa"/>
          </w:tcPr>
          <w:p>
            <w:pPr>
              <w:pStyle w:val="29"/>
              <w:rPr>
                <w:rFonts w:ascii="Times New Roman"/>
                <w:sz w:val="20"/>
                <w:highlight w:val="none"/>
              </w:rPr>
            </w:pPr>
          </w:p>
        </w:tc>
        <w:tc>
          <w:tcPr>
            <w:tcW w:w="1664" w:type="dxa"/>
          </w:tcPr>
          <w:p>
            <w:pPr>
              <w:pStyle w:val="29"/>
              <w:rPr>
                <w:rFonts w:ascii="Times New Roman"/>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1013" w:type="dxa"/>
          </w:tcPr>
          <w:p>
            <w:pPr>
              <w:pStyle w:val="29"/>
              <w:rPr>
                <w:rFonts w:ascii="Times New Roman"/>
                <w:sz w:val="20"/>
                <w:highlight w:val="none"/>
              </w:rPr>
            </w:pPr>
          </w:p>
        </w:tc>
        <w:tc>
          <w:tcPr>
            <w:tcW w:w="3129" w:type="dxa"/>
          </w:tcPr>
          <w:p>
            <w:pPr>
              <w:pStyle w:val="29"/>
              <w:rPr>
                <w:rFonts w:ascii="Times New Roman"/>
                <w:sz w:val="20"/>
                <w:highlight w:val="none"/>
              </w:rPr>
            </w:pPr>
          </w:p>
        </w:tc>
        <w:tc>
          <w:tcPr>
            <w:tcW w:w="1410" w:type="dxa"/>
          </w:tcPr>
          <w:p>
            <w:pPr>
              <w:pStyle w:val="29"/>
              <w:rPr>
                <w:rFonts w:ascii="Times New Roman"/>
                <w:sz w:val="20"/>
                <w:highlight w:val="none"/>
              </w:rPr>
            </w:pPr>
          </w:p>
        </w:tc>
        <w:tc>
          <w:tcPr>
            <w:tcW w:w="1631" w:type="dxa"/>
          </w:tcPr>
          <w:p>
            <w:pPr>
              <w:pStyle w:val="29"/>
              <w:rPr>
                <w:rFonts w:ascii="Times New Roman"/>
                <w:sz w:val="20"/>
                <w:highlight w:val="none"/>
              </w:rPr>
            </w:pPr>
          </w:p>
        </w:tc>
        <w:tc>
          <w:tcPr>
            <w:tcW w:w="1250" w:type="dxa"/>
          </w:tcPr>
          <w:p>
            <w:pPr>
              <w:pStyle w:val="29"/>
              <w:rPr>
                <w:rFonts w:ascii="Times New Roman"/>
                <w:sz w:val="20"/>
                <w:highlight w:val="none"/>
              </w:rPr>
            </w:pPr>
          </w:p>
        </w:tc>
        <w:tc>
          <w:tcPr>
            <w:tcW w:w="1664" w:type="dxa"/>
          </w:tcPr>
          <w:p>
            <w:pPr>
              <w:pStyle w:val="29"/>
              <w:rPr>
                <w:rFonts w:ascii="Times New Roman"/>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013" w:type="dxa"/>
          </w:tcPr>
          <w:p>
            <w:pPr>
              <w:pStyle w:val="29"/>
              <w:rPr>
                <w:rFonts w:ascii="Times New Roman"/>
                <w:sz w:val="20"/>
                <w:highlight w:val="none"/>
              </w:rPr>
            </w:pPr>
          </w:p>
        </w:tc>
        <w:tc>
          <w:tcPr>
            <w:tcW w:w="3129" w:type="dxa"/>
          </w:tcPr>
          <w:p>
            <w:pPr>
              <w:pStyle w:val="29"/>
              <w:rPr>
                <w:rFonts w:ascii="Times New Roman"/>
                <w:sz w:val="20"/>
                <w:highlight w:val="none"/>
              </w:rPr>
            </w:pPr>
          </w:p>
        </w:tc>
        <w:tc>
          <w:tcPr>
            <w:tcW w:w="1410" w:type="dxa"/>
          </w:tcPr>
          <w:p>
            <w:pPr>
              <w:pStyle w:val="29"/>
              <w:rPr>
                <w:rFonts w:ascii="Times New Roman"/>
                <w:sz w:val="20"/>
                <w:highlight w:val="none"/>
              </w:rPr>
            </w:pPr>
          </w:p>
        </w:tc>
        <w:tc>
          <w:tcPr>
            <w:tcW w:w="1631" w:type="dxa"/>
          </w:tcPr>
          <w:p>
            <w:pPr>
              <w:pStyle w:val="29"/>
              <w:rPr>
                <w:rFonts w:ascii="Times New Roman"/>
                <w:sz w:val="20"/>
                <w:highlight w:val="none"/>
              </w:rPr>
            </w:pPr>
          </w:p>
        </w:tc>
        <w:tc>
          <w:tcPr>
            <w:tcW w:w="1250" w:type="dxa"/>
          </w:tcPr>
          <w:p>
            <w:pPr>
              <w:pStyle w:val="29"/>
              <w:rPr>
                <w:rFonts w:ascii="Times New Roman"/>
                <w:sz w:val="20"/>
                <w:highlight w:val="none"/>
              </w:rPr>
            </w:pPr>
          </w:p>
        </w:tc>
        <w:tc>
          <w:tcPr>
            <w:tcW w:w="1664" w:type="dxa"/>
          </w:tcPr>
          <w:p>
            <w:pPr>
              <w:pStyle w:val="29"/>
              <w:rPr>
                <w:rFonts w:ascii="Times New Roman"/>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1013" w:type="dxa"/>
          </w:tcPr>
          <w:p>
            <w:pPr>
              <w:pStyle w:val="29"/>
              <w:rPr>
                <w:rFonts w:ascii="Times New Roman"/>
                <w:sz w:val="20"/>
                <w:highlight w:val="none"/>
              </w:rPr>
            </w:pPr>
          </w:p>
        </w:tc>
        <w:tc>
          <w:tcPr>
            <w:tcW w:w="3129" w:type="dxa"/>
          </w:tcPr>
          <w:p>
            <w:pPr>
              <w:pStyle w:val="29"/>
              <w:rPr>
                <w:rFonts w:ascii="Times New Roman"/>
                <w:sz w:val="20"/>
                <w:highlight w:val="none"/>
              </w:rPr>
            </w:pPr>
          </w:p>
        </w:tc>
        <w:tc>
          <w:tcPr>
            <w:tcW w:w="1410" w:type="dxa"/>
          </w:tcPr>
          <w:p>
            <w:pPr>
              <w:pStyle w:val="29"/>
              <w:rPr>
                <w:rFonts w:ascii="Times New Roman"/>
                <w:sz w:val="20"/>
                <w:highlight w:val="none"/>
              </w:rPr>
            </w:pPr>
          </w:p>
        </w:tc>
        <w:tc>
          <w:tcPr>
            <w:tcW w:w="1631" w:type="dxa"/>
          </w:tcPr>
          <w:p>
            <w:pPr>
              <w:pStyle w:val="29"/>
              <w:rPr>
                <w:rFonts w:ascii="Times New Roman"/>
                <w:sz w:val="20"/>
                <w:highlight w:val="none"/>
              </w:rPr>
            </w:pPr>
          </w:p>
        </w:tc>
        <w:tc>
          <w:tcPr>
            <w:tcW w:w="1250" w:type="dxa"/>
          </w:tcPr>
          <w:p>
            <w:pPr>
              <w:pStyle w:val="29"/>
              <w:rPr>
                <w:rFonts w:ascii="Times New Roman"/>
                <w:sz w:val="20"/>
                <w:highlight w:val="none"/>
              </w:rPr>
            </w:pPr>
          </w:p>
        </w:tc>
        <w:tc>
          <w:tcPr>
            <w:tcW w:w="1664" w:type="dxa"/>
          </w:tcPr>
          <w:p>
            <w:pPr>
              <w:pStyle w:val="29"/>
              <w:rPr>
                <w:rFonts w:ascii="Times New Roman"/>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013" w:type="dxa"/>
          </w:tcPr>
          <w:p>
            <w:pPr>
              <w:pStyle w:val="29"/>
              <w:rPr>
                <w:rFonts w:ascii="Times New Roman"/>
                <w:sz w:val="20"/>
                <w:highlight w:val="none"/>
              </w:rPr>
            </w:pPr>
          </w:p>
        </w:tc>
        <w:tc>
          <w:tcPr>
            <w:tcW w:w="3129" w:type="dxa"/>
          </w:tcPr>
          <w:p>
            <w:pPr>
              <w:pStyle w:val="29"/>
              <w:rPr>
                <w:rFonts w:ascii="Times New Roman"/>
                <w:sz w:val="20"/>
                <w:highlight w:val="none"/>
              </w:rPr>
            </w:pPr>
          </w:p>
        </w:tc>
        <w:tc>
          <w:tcPr>
            <w:tcW w:w="1410" w:type="dxa"/>
          </w:tcPr>
          <w:p>
            <w:pPr>
              <w:pStyle w:val="29"/>
              <w:rPr>
                <w:rFonts w:ascii="Times New Roman"/>
                <w:sz w:val="20"/>
                <w:highlight w:val="none"/>
              </w:rPr>
            </w:pPr>
          </w:p>
        </w:tc>
        <w:tc>
          <w:tcPr>
            <w:tcW w:w="1631" w:type="dxa"/>
          </w:tcPr>
          <w:p>
            <w:pPr>
              <w:pStyle w:val="29"/>
              <w:rPr>
                <w:rFonts w:ascii="Times New Roman"/>
                <w:sz w:val="20"/>
                <w:highlight w:val="none"/>
              </w:rPr>
            </w:pPr>
          </w:p>
        </w:tc>
        <w:tc>
          <w:tcPr>
            <w:tcW w:w="1250" w:type="dxa"/>
          </w:tcPr>
          <w:p>
            <w:pPr>
              <w:pStyle w:val="29"/>
              <w:rPr>
                <w:rFonts w:ascii="Times New Roman"/>
                <w:sz w:val="20"/>
                <w:highlight w:val="none"/>
              </w:rPr>
            </w:pPr>
          </w:p>
        </w:tc>
        <w:tc>
          <w:tcPr>
            <w:tcW w:w="1664" w:type="dxa"/>
          </w:tcPr>
          <w:p>
            <w:pPr>
              <w:pStyle w:val="29"/>
              <w:rPr>
                <w:rFonts w:ascii="Times New Roman"/>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4" w:hRule="atLeast"/>
        </w:trPr>
        <w:tc>
          <w:tcPr>
            <w:tcW w:w="1013" w:type="dxa"/>
          </w:tcPr>
          <w:p>
            <w:pPr>
              <w:pStyle w:val="29"/>
              <w:rPr>
                <w:rFonts w:ascii="Times New Roman"/>
                <w:sz w:val="20"/>
                <w:highlight w:val="none"/>
              </w:rPr>
            </w:pPr>
          </w:p>
        </w:tc>
        <w:tc>
          <w:tcPr>
            <w:tcW w:w="3129" w:type="dxa"/>
          </w:tcPr>
          <w:p>
            <w:pPr>
              <w:pStyle w:val="29"/>
              <w:rPr>
                <w:rFonts w:ascii="Times New Roman"/>
                <w:sz w:val="20"/>
                <w:highlight w:val="none"/>
              </w:rPr>
            </w:pPr>
          </w:p>
        </w:tc>
        <w:tc>
          <w:tcPr>
            <w:tcW w:w="1410" w:type="dxa"/>
          </w:tcPr>
          <w:p>
            <w:pPr>
              <w:pStyle w:val="29"/>
              <w:rPr>
                <w:rFonts w:ascii="Times New Roman"/>
                <w:sz w:val="20"/>
                <w:highlight w:val="none"/>
              </w:rPr>
            </w:pPr>
          </w:p>
        </w:tc>
        <w:tc>
          <w:tcPr>
            <w:tcW w:w="1631" w:type="dxa"/>
          </w:tcPr>
          <w:p>
            <w:pPr>
              <w:pStyle w:val="29"/>
              <w:rPr>
                <w:rFonts w:ascii="Times New Roman"/>
                <w:sz w:val="20"/>
                <w:highlight w:val="none"/>
              </w:rPr>
            </w:pPr>
          </w:p>
        </w:tc>
        <w:tc>
          <w:tcPr>
            <w:tcW w:w="1250" w:type="dxa"/>
          </w:tcPr>
          <w:p>
            <w:pPr>
              <w:pStyle w:val="29"/>
              <w:rPr>
                <w:rFonts w:ascii="Times New Roman"/>
                <w:sz w:val="20"/>
                <w:highlight w:val="none"/>
              </w:rPr>
            </w:pPr>
          </w:p>
        </w:tc>
        <w:tc>
          <w:tcPr>
            <w:tcW w:w="1664" w:type="dxa"/>
          </w:tcPr>
          <w:p>
            <w:pPr>
              <w:pStyle w:val="29"/>
              <w:rPr>
                <w:rFonts w:ascii="Times New Roman"/>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013" w:type="dxa"/>
          </w:tcPr>
          <w:p>
            <w:pPr>
              <w:pStyle w:val="29"/>
              <w:rPr>
                <w:rFonts w:ascii="Times New Roman"/>
                <w:sz w:val="20"/>
                <w:highlight w:val="none"/>
              </w:rPr>
            </w:pPr>
          </w:p>
        </w:tc>
        <w:tc>
          <w:tcPr>
            <w:tcW w:w="3129" w:type="dxa"/>
          </w:tcPr>
          <w:p>
            <w:pPr>
              <w:pStyle w:val="29"/>
              <w:rPr>
                <w:rFonts w:ascii="Times New Roman"/>
                <w:sz w:val="20"/>
                <w:highlight w:val="none"/>
              </w:rPr>
            </w:pPr>
          </w:p>
        </w:tc>
        <w:tc>
          <w:tcPr>
            <w:tcW w:w="1410" w:type="dxa"/>
          </w:tcPr>
          <w:p>
            <w:pPr>
              <w:pStyle w:val="29"/>
              <w:rPr>
                <w:rFonts w:ascii="Times New Roman"/>
                <w:sz w:val="20"/>
                <w:highlight w:val="none"/>
              </w:rPr>
            </w:pPr>
          </w:p>
        </w:tc>
        <w:tc>
          <w:tcPr>
            <w:tcW w:w="1631" w:type="dxa"/>
          </w:tcPr>
          <w:p>
            <w:pPr>
              <w:pStyle w:val="29"/>
              <w:rPr>
                <w:rFonts w:ascii="Times New Roman"/>
                <w:sz w:val="20"/>
                <w:highlight w:val="none"/>
              </w:rPr>
            </w:pPr>
          </w:p>
        </w:tc>
        <w:tc>
          <w:tcPr>
            <w:tcW w:w="1250" w:type="dxa"/>
          </w:tcPr>
          <w:p>
            <w:pPr>
              <w:pStyle w:val="29"/>
              <w:rPr>
                <w:rFonts w:ascii="Times New Roman"/>
                <w:sz w:val="20"/>
                <w:highlight w:val="none"/>
              </w:rPr>
            </w:pPr>
          </w:p>
        </w:tc>
        <w:tc>
          <w:tcPr>
            <w:tcW w:w="1664" w:type="dxa"/>
          </w:tcPr>
          <w:p>
            <w:pPr>
              <w:pStyle w:val="29"/>
              <w:rPr>
                <w:rFonts w:ascii="Times New Roman"/>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013" w:type="dxa"/>
          </w:tcPr>
          <w:p>
            <w:pPr>
              <w:pStyle w:val="29"/>
              <w:rPr>
                <w:rFonts w:ascii="Times New Roman"/>
                <w:sz w:val="20"/>
                <w:highlight w:val="none"/>
              </w:rPr>
            </w:pPr>
          </w:p>
        </w:tc>
        <w:tc>
          <w:tcPr>
            <w:tcW w:w="3129" w:type="dxa"/>
          </w:tcPr>
          <w:p>
            <w:pPr>
              <w:pStyle w:val="29"/>
              <w:rPr>
                <w:rFonts w:ascii="Times New Roman"/>
                <w:sz w:val="20"/>
                <w:highlight w:val="none"/>
              </w:rPr>
            </w:pPr>
          </w:p>
        </w:tc>
        <w:tc>
          <w:tcPr>
            <w:tcW w:w="1410" w:type="dxa"/>
          </w:tcPr>
          <w:p>
            <w:pPr>
              <w:pStyle w:val="29"/>
              <w:rPr>
                <w:rFonts w:ascii="Times New Roman"/>
                <w:sz w:val="20"/>
                <w:highlight w:val="none"/>
              </w:rPr>
            </w:pPr>
          </w:p>
        </w:tc>
        <w:tc>
          <w:tcPr>
            <w:tcW w:w="1631" w:type="dxa"/>
          </w:tcPr>
          <w:p>
            <w:pPr>
              <w:pStyle w:val="29"/>
              <w:rPr>
                <w:rFonts w:ascii="Times New Roman"/>
                <w:sz w:val="20"/>
                <w:highlight w:val="none"/>
              </w:rPr>
            </w:pPr>
          </w:p>
        </w:tc>
        <w:tc>
          <w:tcPr>
            <w:tcW w:w="1250" w:type="dxa"/>
          </w:tcPr>
          <w:p>
            <w:pPr>
              <w:pStyle w:val="29"/>
              <w:rPr>
                <w:rFonts w:ascii="Times New Roman"/>
                <w:sz w:val="20"/>
                <w:highlight w:val="none"/>
              </w:rPr>
            </w:pPr>
          </w:p>
        </w:tc>
        <w:tc>
          <w:tcPr>
            <w:tcW w:w="1664" w:type="dxa"/>
          </w:tcPr>
          <w:p>
            <w:pPr>
              <w:pStyle w:val="29"/>
              <w:rPr>
                <w:rFonts w:ascii="Times New Roman"/>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013" w:type="dxa"/>
          </w:tcPr>
          <w:p>
            <w:pPr>
              <w:pStyle w:val="29"/>
              <w:rPr>
                <w:rFonts w:ascii="Times New Roman"/>
                <w:sz w:val="20"/>
                <w:highlight w:val="none"/>
              </w:rPr>
            </w:pPr>
          </w:p>
        </w:tc>
        <w:tc>
          <w:tcPr>
            <w:tcW w:w="3129" w:type="dxa"/>
          </w:tcPr>
          <w:p>
            <w:pPr>
              <w:pStyle w:val="29"/>
              <w:rPr>
                <w:rFonts w:ascii="Times New Roman"/>
                <w:sz w:val="20"/>
                <w:highlight w:val="none"/>
              </w:rPr>
            </w:pPr>
          </w:p>
        </w:tc>
        <w:tc>
          <w:tcPr>
            <w:tcW w:w="1410" w:type="dxa"/>
          </w:tcPr>
          <w:p>
            <w:pPr>
              <w:pStyle w:val="29"/>
              <w:rPr>
                <w:rFonts w:ascii="Times New Roman"/>
                <w:sz w:val="20"/>
                <w:highlight w:val="none"/>
              </w:rPr>
            </w:pPr>
          </w:p>
        </w:tc>
        <w:tc>
          <w:tcPr>
            <w:tcW w:w="1631" w:type="dxa"/>
          </w:tcPr>
          <w:p>
            <w:pPr>
              <w:pStyle w:val="29"/>
              <w:rPr>
                <w:rFonts w:ascii="Times New Roman"/>
                <w:sz w:val="20"/>
                <w:highlight w:val="none"/>
              </w:rPr>
            </w:pPr>
          </w:p>
        </w:tc>
        <w:tc>
          <w:tcPr>
            <w:tcW w:w="1250" w:type="dxa"/>
          </w:tcPr>
          <w:p>
            <w:pPr>
              <w:pStyle w:val="29"/>
              <w:rPr>
                <w:rFonts w:ascii="Times New Roman"/>
                <w:sz w:val="20"/>
                <w:highlight w:val="none"/>
              </w:rPr>
            </w:pPr>
          </w:p>
        </w:tc>
        <w:tc>
          <w:tcPr>
            <w:tcW w:w="1664" w:type="dxa"/>
          </w:tcPr>
          <w:p>
            <w:pPr>
              <w:pStyle w:val="29"/>
              <w:rPr>
                <w:rFonts w:ascii="Times New Roman"/>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3" w:hRule="atLeast"/>
        </w:trPr>
        <w:tc>
          <w:tcPr>
            <w:tcW w:w="1013" w:type="dxa"/>
          </w:tcPr>
          <w:p>
            <w:pPr>
              <w:pStyle w:val="29"/>
              <w:rPr>
                <w:rFonts w:ascii="Times New Roman"/>
                <w:sz w:val="20"/>
                <w:highlight w:val="none"/>
              </w:rPr>
            </w:pPr>
          </w:p>
        </w:tc>
        <w:tc>
          <w:tcPr>
            <w:tcW w:w="3129" w:type="dxa"/>
          </w:tcPr>
          <w:p>
            <w:pPr>
              <w:pStyle w:val="29"/>
              <w:rPr>
                <w:rFonts w:ascii="Times New Roman"/>
                <w:sz w:val="20"/>
                <w:highlight w:val="none"/>
              </w:rPr>
            </w:pPr>
          </w:p>
        </w:tc>
        <w:tc>
          <w:tcPr>
            <w:tcW w:w="1410" w:type="dxa"/>
          </w:tcPr>
          <w:p>
            <w:pPr>
              <w:pStyle w:val="29"/>
              <w:rPr>
                <w:rFonts w:ascii="Times New Roman"/>
                <w:sz w:val="20"/>
                <w:highlight w:val="none"/>
              </w:rPr>
            </w:pPr>
          </w:p>
        </w:tc>
        <w:tc>
          <w:tcPr>
            <w:tcW w:w="1631" w:type="dxa"/>
          </w:tcPr>
          <w:p>
            <w:pPr>
              <w:pStyle w:val="29"/>
              <w:rPr>
                <w:rFonts w:ascii="Times New Roman"/>
                <w:sz w:val="20"/>
                <w:highlight w:val="none"/>
              </w:rPr>
            </w:pPr>
          </w:p>
        </w:tc>
        <w:tc>
          <w:tcPr>
            <w:tcW w:w="1250" w:type="dxa"/>
          </w:tcPr>
          <w:p>
            <w:pPr>
              <w:pStyle w:val="29"/>
              <w:rPr>
                <w:rFonts w:ascii="Times New Roman"/>
                <w:sz w:val="20"/>
                <w:highlight w:val="none"/>
              </w:rPr>
            </w:pPr>
          </w:p>
        </w:tc>
        <w:tc>
          <w:tcPr>
            <w:tcW w:w="1664" w:type="dxa"/>
          </w:tcPr>
          <w:p>
            <w:pPr>
              <w:pStyle w:val="29"/>
              <w:rPr>
                <w:rFonts w:ascii="Times New Roman"/>
                <w:sz w:val="20"/>
                <w:highlight w:val="none"/>
              </w:rPr>
            </w:pPr>
          </w:p>
        </w:tc>
      </w:tr>
    </w:tbl>
    <w:p>
      <w:pPr>
        <w:pStyle w:val="11"/>
        <w:rPr>
          <w:sz w:val="22"/>
          <w:highlight w:val="none"/>
        </w:rPr>
      </w:pPr>
    </w:p>
    <w:p>
      <w:pPr>
        <w:pStyle w:val="11"/>
        <w:rPr>
          <w:sz w:val="22"/>
          <w:highlight w:val="none"/>
        </w:rPr>
      </w:pPr>
    </w:p>
    <w:p>
      <w:pPr>
        <w:pStyle w:val="11"/>
        <w:tabs>
          <w:tab w:val="left" w:pos="2444"/>
          <w:tab w:val="left" w:pos="3237"/>
          <w:tab w:val="left" w:pos="4859"/>
          <w:tab w:val="left" w:pos="5546"/>
          <w:tab w:val="left" w:pos="7169"/>
        </w:tabs>
        <w:spacing w:before="163"/>
        <w:ind w:left="400"/>
        <w:rPr>
          <w:rFonts w:ascii="Times New Roman" w:eastAsia="Times New Roman"/>
          <w:highlight w:val="none"/>
        </w:rPr>
      </w:pPr>
      <w:r>
        <w:rPr>
          <w:highlight w:val="none"/>
        </w:rPr>
        <w:t>招标</w:t>
      </w:r>
      <w:r>
        <w:rPr>
          <w:spacing w:val="-3"/>
          <w:highlight w:val="none"/>
        </w:rPr>
        <w:t>人</w:t>
      </w:r>
      <w:r>
        <w:rPr>
          <w:highlight w:val="none"/>
        </w:rPr>
        <w:t>代</w:t>
      </w:r>
      <w:r>
        <w:rPr>
          <w:spacing w:val="-3"/>
          <w:highlight w:val="none"/>
        </w:rPr>
        <w:t>表</w:t>
      </w:r>
      <w:r>
        <w:rPr>
          <w:highlight w:val="none"/>
        </w:rPr>
        <w:t>：</w:t>
      </w:r>
      <w:r>
        <w:rPr>
          <w:highlight w:val="none"/>
          <w:u w:val="single"/>
        </w:rPr>
        <w:t xml:space="preserve"> </w:t>
      </w:r>
      <w:r>
        <w:rPr>
          <w:highlight w:val="none"/>
          <w:u w:val="single"/>
        </w:rPr>
        <w:tab/>
      </w:r>
      <w:r>
        <w:rPr>
          <w:highlight w:val="none"/>
        </w:rPr>
        <w:tab/>
      </w:r>
      <w:r>
        <w:rPr>
          <w:spacing w:val="-3"/>
          <w:highlight w:val="none"/>
        </w:rPr>
        <w:t>记</w:t>
      </w:r>
      <w:r>
        <w:rPr>
          <w:highlight w:val="none"/>
        </w:rPr>
        <w:t>录</w:t>
      </w:r>
      <w:r>
        <w:rPr>
          <w:spacing w:val="-3"/>
          <w:highlight w:val="none"/>
        </w:rPr>
        <w:t>人</w:t>
      </w:r>
      <w:r>
        <w:rPr>
          <w:highlight w:val="none"/>
        </w:rPr>
        <w:t>：</w:t>
      </w:r>
      <w:r>
        <w:rPr>
          <w:highlight w:val="none"/>
          <w:u w:val="single"/>
        </w:rPr>
        <w:t xml:space="preserve"> </w:t>
      </w:r>
      <w:r>
        <w:rPr>
          <w:highlight w:val="none"/>
          <w:u w:val="single"/>
        </w:rPr>
        <w:tab/>
      </w:r>
      <w:r>
        <w:rPr>
          <w:highlight w:val="none"/>
        </w:rPr>
        <w:tab/>
      </w:r>
      <w:r>
        <w:rPr>
          <w:spacing w:val="-3"/>
          <w:highlight w:val="none"/>
        </w:rPr>
        <w:t>监</w:t>
      </w:r>
      <w:r>
        <w:rPr>
          <w:spacing w:val="-1"/>
          <w:highlight w:val="none"/>
        </w:rPr>
        <w:t>标</w:t>
      </w:r>
      <w:r>
        <w:rPr>
          <w:spacing w:val="-3"/>
          <w:highlight w:val="none"/>
        </w:rPr>
        <w:t>人</w:t>
      </w:r>
      <w:r>
        <w:rPr>
          <w:highlight w:val="none"/>
        </w:rPr>
        <w:t>：</w:t>
      </w:r>
      <w:r>
        <w:rPr>
          <w:rFonts w:ascii="Times New Roman" w:eastAsia="Times New Roman"/>
          <w:highlight w:val="none"/>
          <w:u w:val="single"/>
        </w:rPr>
        <w:t xml:space="preserve"> </w:t>
      </w:r>
      <w:r>
        <w:rPr>
          <w:rFonts w:ascii="Times New Roman" w:eastAsia="Times New Roman"/>
          <w:highlight w:val="none"/>
          <w:u w:val="single"/>
        </w:rPr>
        <w:tab/>
      </w:r>
    </w:p>
    <w:p>
      <w:pPr>
        <w:pStyle w:val="11"/>
        <w:spacing w:before="4"/>
        <w:rPr>
          <w:rFonts w:ascii="Times New Roman"/>
          <w:sz w:val="24"/>
          <w:highlight w:val="none"/>
        </w:rPr>
      </w:pPr>
    </w:p>
    <w:p>
      <w:pPr>
        <w:pStyle w:val="11"/>
        <w:tabs>
          <w:tab w:val="left" w:pos="6943"/>
          <w:tab w:val="left" w:pos="7889"/>
          <w:tab w:val="left" w:pos="8833"/>
        </w:tabs>
        <w:spacing w:before="72"/>
        <w:ind w:left="6207"/>
        <w:rPr>
          <w:highlight w:val="none"/>
        </w:rPr>
      </w:pPr>
      <w:r>
        <w:rPr>
          <w:rFonts w:ascii="Times New Roman" w:eastAsia="Times New Roman"/>
          <w:highlight w:val="none"/>
          <w:u w:val="single"/>
        </w:rPr>
        <w:t xml:space="preserve"> </w:t>
      </w:r>
      <w:r>
        <w:rPr>
          <w:rFonts w:ascii="Times New Roman" w:eastAsia="Times New Roman"/>
          <w:highlight w:val="none"/>
          <w:u w:val="single"/>
        </w:rPr>
        <w:tab/>
      </w:r>
      <w:r>
        <w:rPr>
          <w:highlight w:val="none"/>
        </w:rPr>
        <w:t>年</w:t>
      </w:r>
      <w:r>
        <w:rPr>
          <w:highlight w:val="none"/>
          <w:u w:val="single"/>
        </w:rPr>
        <w:t xml:space="preserve"> </w:t>
      </w:r>
      <w:r>
        <w:rPr>
          <w:highlight w:val="none"/>
          <w:u w:val="single"/>
        </w:rPr>
        <w:tab/>
      </w:r>
      <w:r>
        <w:rPr>
          <w:spacing w:val="-3"/>
          <w:highlight w:val="none"/>
        </w:rPr>
        <w:t>月</w:t>
      </w:r>
      <w:r>
        <w:rPr>
          <w:spacing w:val="-3"/>
          <w:highlight w:val="none"/>
          <w:u w:val="single"/>
        </w:rPr>
        <w:t xml:space="preserve"> </w:t>
      </w:r>
      <w:r>
        <w:rPr>
          <w:spacing w:val="-3"/>
          <w:highlight w:val="none"/>
          <w:u w:val="single"/>
        </w:rPr>
        <w:tab/>
      </w:r>
      <w:r>
        <w:rPr>
          <w:highlight w:val="none"/>
        </w:rPr>
        <w:t>日</w:t>
      </w:r>
    </w:p>
    <w:p>
      <w:pPr>
        <w:rPr>
          <w:highlight w:val="none"/>
        </w:rPr>
        <w:sectPr>
          <w:pgSz w:w="12240" w:h="15840"/>
          <w:pgMar w:top="1400" w:right="1100" w:bottom="1120" w:left="1400" w:header="0" w:footer="841" w:gutter="0"/>
          <w:cols w:space="720" w:num="1"/>
        </w:sectPr>
      </w:pPr>
    </w:p>
    <w:p>
      <w:pPr>
        <w:pStyle w:val="5"/>
        <w:spacing w:before="43"/>
        <w:ind w:left="537" w:firstLine="0"/>
        <w:rPr>
          <w:highlight w:val="none"/>
        </w:rPr>
      </w:pPr>
      <w:bookmarkStart w:id="145" w:name="_bookmark76"/>
      <w:bookmarkEnd w:id="145"/>
      <w:bookmarkStart w:id="146" w:name="_Toc14101"/>
      <w:r>
        <w:rPr>
          <w:highlight w:val="none"/>
        </w:rPr>
        <w:t>附件二：问题澄清通知</w:t>
      </w:r>
      <w:bookmarkEnd w:id="146"/>
    </w:p>
    <w:p>
      <w:pPr>
        <w:pStyle w:val="11"/>
        <w:rPr>
          <w:sz w:val="20"/>
          <w:highlight w:val="none"/>
        </w:rPr>
      </w:pPr>
    </w:p>
    <w:p>
      <w:pPr>
        <w:pStyle w:val="11"/>
        <w:rPr>
          <w:sz w:val="20"/>
          <w:highlight w:val="none"/>
        </w:rPr>
      </w:pPr>
    </w:p>
    <w:p>
      <w:pPr>
        <w:pStyle w:val="11"/>
        <w:rPr>
          <w:sz w:val="20"/>
          <w:highlight w:val="none"/>
        </w:rPr>
      </w:pPr>
    </w:p>
    <w:p>
      <w:pPr>
        <w:pStyle w:val="11"/>
        <w:spacing w:before="11"/>
        <w:rPr>
          <w:sz w:val="15"/>
          <w:highlight w:val="none"/>
        </w:rPr>
      </w:pPr>
    </w:p>
    <w:p>
      <w:pPr>
        <w:spacing w:before="62"/>
        <w:ind w:right="293"/>
        <w:jc w:val="center"/>
        <w:rPr>
          <w:sz w:val="28"/>
          <w:highlight w:val="none"/>
        </w:rPr>
      </w:pPr>
      <w:r>
        <w:rPr>
          <w:sz w:val="28"/>
          <w:highlight w:val="none"/>
        </w:rPr>
        <w:t>问题澄清通知</w:t>
      </w:r>
    </w:p>
    <w:p>
      <w:pPr>
        <w:pStyle w:val="11"/>
        <w:tabs>
          <w:tab w:val="left" w:pos="2937"/>
        </w:tabs>
        <w:spacing w:before="152"/>
        <w:ind w:right="300"/>
        <w:jc w:val="center"/>
        <w:rPr>
          <w:highlight w:val="none"/>
        </w:rPr>
      </w:pPr>
      <w:r>
        <w:rPr>
          <w:highlight w:val="none"/>
        </w:rPr>
        <w:t>（编</w:t>
      </w:r>
      <w:r>
        <w:rPr>
          <w:spacing w:val="-3"/>
          <w:highlight w:val="none"/>
        </w:rPr>
        <w:t>号</w:t>
      </w:r>
      <w:r>
        <w:rPr>
          <w:highlight w:val="none"/>
        </w:rPr>
        <w:t>：</w:t>
      </w:r>
      <w:r>
        <w:rPr>
          <w:highlight w:val="none"/>
          <w:u w:val="single"/>
        </w:rPr>
        <w:t xml:space="preserve"> </w:t>
      </w:r>
      <w:r>
        <w:rPr>
          <w:highlight w:val="none"/>
          <w:u w:val="single"/>
        </w:rPr>
        <w:tab/>
      </w:r>
      <w:r>
        <w:rPr>
          <w:highlight w:val="none"/>
        </w:rPr>
        <w:t>）</w:t>
      </w:r>
    </w:p>
    <w:p>
      <w:pPr>
        <w:pStyle w:val="11"/>
        <w:rPr>
          <w:sz w:val="20"/>
          <w:highlight w:val="none"/>
        </w:rPr>
      </w:pPr>
    </w:p>
    <w:p>
      <w:pPr>
        <w:pStyle w:val="11"/>
        <w:spacing w:before="6"/>
        <w:rPr>
          <w:highlight w:val="none"/>
        </w:rPr>
      </w:pPr>
    </w:p>
    <w:p>
      <w:pPr>
        <w:pStyle w:val="11"/>
        <w:tabs>
          <w:tab w:val="left" w:pos="2605"/>
        </w:tabs>
        <w:spacing w:before="78"/>
        <w:ind w:left="400"/>
        <w:rPr>
          <w:highlight w:val="none"/>
        </w:rPr>
      </w:pPr>
      <w:r>
        <w:rPr>
          <w:rFonts w:ascii="Times New Roman" w:eastAsia="Times New Roman"/>
          <w:highlight w:val="none"/>
          <w:u w:val="single"/>
        </w:rPr>
        <w:t xml:space="preserve"> </w:t>
      </w:r>
      <w:r>
        <w:rPr>
          <w:rFonts w:ascii="Times New Roman" w:eastAsia="Times New Roman"/>
          <w:highlight w:val="none"/>
          <w:u w:val="single"/>
        </w:rPr>
        <w:tab/>
      </w:r>
      <w:r>
        <w:rPr>
          <w:spacing w:val="-3"/>
          <w:highlight w:val="none"/>
        </w:rPr>
        <w:t>（</w:t>
      </w:r>
      <w:r>
        <w:rPr>
          <w:spacing w:val="-2"/>
          <w:highlight w:val="none"/>
        </w:rPr>
        <w:t>投标人名称</w:t>
      </w:r>
      <w:r>
        <w:rPr>
          <w:spacing w:val="-106"/>
          <w:highlight w:val="none"/>
        </w:rPr>
        <w:t>）</w:t>
      </w:r>
      <w:r>
        <w:rPr>
          <w:highlight w:val="none"/>
        </w:rPr>
        <w:t>：</w:t>
      </w:r>
    </w:p>
    <w:p>
      <w:pPr>
        <w:pStyle w:val="11"/>
        <w:rPr>
          <w:sz w:val="20"/>
          <w:highlight w:val="none"/>
        </w:rPr>
      </w:pPr>
    </w:p>
    <w:p>
      <w:pPr>
        <w:pStyle w:val="11"/>
        <w:spacing w:before="3"/>
        <w:rPr>
          <w:sz w:val="22"/>
          <w:highlight w:val="none"/>
        </w:rPr>
      </w:pPr>
    </w:p>
    <w:p>
      <w:pPr>
        <w:pStyle w:val="11"/>
        <w:spacing w:before="72" w:line="391" w:lineRule="auto"/>
        <w:ind w:left="400" w:right="694" w:firstLine="422"/>
        <w:rPr>
          <w:highlight w:val="none"/>
        </w:rPr>
      </w:pPr>
      <w:r>
        <w:rPr>
          <w:highlight w:val="none"/>
        </w:rPr>
        <w:t>评标委员会对你方的投标文件进行了仔细的审查，现需你方对下列问题以书面形式予以澄清、说明或补正：</w:t>
      </w:r>
    </w:p>
    <w:p>
      <w:pPr>
        <w:pStyle w:val="11"/>
        <w:rPr>
          <w:sz w:val="20"/>
          <w:highlight w:val="none"/>
        </w:rPr>
      </w:pPr>
    </w:p>
    <w:p>
      <w:pPr>
        <w:pStyle w:val="11"/>
        <w:spacing w:before="8"/>
        <w:rPr>
          <w:sz w:val="15"/>
          <w:highlight w:val="none"/>
        </w:rPr>
      </w:pPr>
    </w:p>
    <w:p>
      <w:pPr>
        <w:pStyle w:val="11"/>
        <w:ind w:left="822"/>
        <w:rPr>
          <w:rFonts w:ascii="Times New Roman"/>
          <w:highlight w:val="none"/>
        </w:rPr>
      </w:pPr>
      <w:r>
        <w:rPr>
          <w:rFonts w:ascii="Times New Roman"/>
          <w:highlight w:val="none"/>
        </w:rPr>
        <w:t>1.</w:t>
      </w:r>
    </w:p>
    <w:p>
      <w:pPr>
        <w:pStyle w:val="11"/>
        <w:spacing w:before="2"/>
        <w:rPr>
          <w:rFonts w:ascii="Times New Roman"/>
          <w:sz w:val="17"/>
          <w:highlight w:val="none"/>
        </w:rPr>
      </w:pPr>
    </w:p>
    <w:p>
      <w:pPr>
        <w:pStyle w:val="11"/>
        <w:ind w:left="822"/>
        <w:rPr>
          <w:rFonts w:ascii="Times New Roman"/>
          <w:highlight w:val="none"/>
        </w:rPr>
      </w:pPr>
      <w:r>
        <w:rPr>
          <w:rFonts w:ascii="Times New Roman"/>
          <w:highlight w:val="none"/>
        </w:rPr>
        <w:t>2.</w:t>
      </w:r>
    </w:p>
    <w:p>
      <w:pPr>
        <w:pStyle w:val="11"/>
        <w:spacing w:before="5"/>
        <w:rPr>
          <w:rFonts w:ascii="Times New Roman"/>
          <w:sz w:val="17"/>
          <w:highlight w:val="none"/>
        </w:rPr>
      </w:pPr>
    </w:p>
    <w:p>
      <w:pPr>
        <w:pStyle w:val="11"/>
        <w:ind w:left="928"/>
        <w:rPr>
          <w:rFonts w:ascii="Times New Roman"/>
          <w:highlight w:val="none"/>
        </w:rPr>
      </w:pPr>
      <w:r>
        <w:rPr>
          <w:rFonts w:ascii="Times New Roman"/>
          <w:highlight w:val="none"/>
        </w:rPr>
        <w:t>......</w:t>
      </w:r>
    </w:p>
    <w:p>
      <w:pPr>
        <w:pStyle w:val="11"/>
        <w:rPr>
          <w:rFonts w:ascii="Times New Roman"/>
          <w:sz w:val="22"/>
          <w:highlight w:val="none"/>
        </w:rPr>
      </w:pPr>
    </w:p>
    <w:p>
      <w:pPr>
        <w:pStyle w:val="11"/>
        <w:spacing w:before="2"/>
        <w:rPr>
          <w:rFonts w:ascii="Times New Roman"/>
          <w:sz w:val="32"/>
          <w:highlight w:val="none"/>
        </w:rPr>
      </w:pPr>
    </w:p>
    <w:p>
      <w:pPr>
        <w:pStyle w:val="11"/>
        <w:tabs>
          <w:tab w:val="left" w:pos="4903"/>
          <w:tab w:val="left" w:pos="5849"/>
          <w:tab w:val="left" w:pos="6794"/>
          <w:tab w:val="left" w:pos="7738"/>
        </w:tabs>
        <w:ind w:left="806"/>
        <w:rPr>
          <w:highlight w:val="none"/>
        </w:rPr>
      </w:pPr>
      <w:r>
        <w:rPr>
          <w:highlight w:val="none"/>
        </w:rPr>
        <w:t>请将</w:t>
      </w:r>
      <w:r>
        <w:rPr>
          <w:spacing w:val="-3"/>
          <w:highlight w:val="none"/>
        </w:rPr>
        <w:t>上</w:t>
      </w:r>
      <w:r>
        <w:rPr>
          <w:highlight w:val="none"/>
        </w:rPr>
        <w:t>述</w:t>
      </w:r>
      <w:r>
        <w:rPr>
          <w:spacing w:val="-3"/>
          <w:highlight w:val="none"/>
        </w:rPr>
        <w:t>问</w:t>
      </w:r>
      <w:r>
        <w:rPr>
          <w:highlight w:val="none"/>
        </w:rPr>
        <w:t>题</w:t>
      </w:r>
      <w:r>
        <w:rPr>
          <w:spacing w:val="-3"/>
          <w:highlight w:val="none"/>
        </w:rPr>
        <w:t>的</w:t>
      </w:r>
      <w:r>
        <w:rPr>
          <w:highlight w:val="none"/>
        </w:rPr>
        <w:t>澄</w:t>
      </w:r>
      <w:r>
        <w:rPr>
          <w:spacing w:val="-3"/>
          <w:highlight w:val="none"/>
        </w:rPr>
        <w:t>清</w:t>
      </w:r>
      <w:r>
        <w:rPr>
          <w:highlight w:val="none"/>
        </w:rPr>
        <w:t>、</w:t>
      </w:r>
      <w:r>
        <w:rPr>
          <w:spacing w:val="-3"/>
          <w:highlight w:val="none"/>
        </w:rPr>
        <w:t>说</w:t>
      </w:r>
      <w:r>
        <w:rPr>
          <w:highlight w:val="none"/>
        </w:rPr>
        <w:t>明或</w:t>
      </w:r>
      <w:r>
        <w:rPr>
          <w:spacing w:val="-3"/>
          <w:highlight w:val="none"/>
        </w:rPr>
        <w:t>补</w:t>
      </w:r>
      <w:r>
        <w:rPr>
          <w:highlight w:val="none"/>
        </w:rPr>
        <w:t>正</w:t>
      </w:r>
      <w:r>
        <w:rPr>
          <w:spacing w:val="-3"/>
          <w:highlight w:val="none"/>
        </w:rPr>
        <w:t>于</w:t>
      </w:r>
      <w:r>
        <w:rPr>
          <w:spacing w:val="-3"/>
          <w:highlight w:val="none"/>
          <w:u w:val="single"/>
        </w:rPr>
        <w:t xml:space="preserve"> </w:t>
      </w:r>
      <w:r>
        <w:rPr>
          <w:spacing w:val="-3"/>
          <w:highlight w:val="none"/>
          <w:u w:val="single"/>
        </w:rPr>
        <w:tab/>
      </w:r>
      <w:r>
        <w:rPr>
          <w:highlight w:val="none"/>
        </w:rPr>
        <w:t>年</w:t>
      </w:r>
      <w:r>
        <w:rPr>
          <w:highlight w:val="none"/>
          <w:u w:val="single"/>
        </w:rPr>
        <w:t xml:space="preserve"> </w:t>
      </w:r>
      <w:r>
        <w:rPr>
          <w:highlight w:val="none"/>
          <w:u w:val="single"/>
        </w:rPr>
        <w:tab/>
      </w:r>
      <w:r>
        <w:rPr>
          <w:highlight w:val="none"/>
        </w:rPr>
        <w:t>月</w:t>
      </w:r>
      <w:r>
        <w:rPr>
          <w:highlight w:val="none"/>
          <w:u w:val="single"/>
        </w:rPr>
        <w:t xml:space="preserve"> </w:t>
      </w:r>
      <w:r>
        <w:rPr>
          <w:highlight w:val="none"/>
          <w:u w:val="single"/>
        </w:rPr>
        <w:tab/>
      </w:r>
      <w:r>
        <w:rPr>
          <w:spacing w:val="-3"/>
          <w:highlight w:val="none"/>
        </w:rPr>
        <w:t>日</w:t>
      </w:r>
      <w:r>
        <w:rPr>
          <w:spacing w:val="-3"/>
          <w:highlight w:val="none"/>
          <w:u w:val="single"/>
        </w:rPr>
        <w:t xml:space="preserve"> </w:t>
      </w:r>
      <w:r>
        <w:rPr>
          <w:spacing w:val="-3"/>
          <w:highlight w:val="none"/>
          <w:u w:val="single"/>
        </w:rPr>
        <w:tab/>
      </w:r>
      <w:r>
        <w:rPr>
          <w:spacing w:val="-3"/>
          <w:highlight w:val="none"/>
        </w:rPr>
        <w:t>时</w:t>
      </w:r>
      <w:r>
        <w:rPr>
          <w:highlight w:val="none"/>
        </w:rPr>
        <w:t>前递</w:t>
      </w:r>
      <w:r>
        <w:rPr>
          <w:spacing w:val="-3"/>
          <w:highlight w:val="none"/>
        </w:rPr>
        <w:t>交</w:t>
      </w:r>
      <w:r>
        <w:rPr>
          <w:highlight w:val="none"/>
        </w:rPr>
        <w:t>至</w:t>
      </w:r>
    </w:p>
    <w:p>
      <w:pPr>
        <w:pStyle w:val="11"/>
        <w:tabs>
          <w:tab w:val="left" w:pos="3340"/>
          <w:tab w:val="left" w:pos="7596"/>
        </w:tabs>
        <w:spacing w:before="173"/>
        <w:ind w:left="400"/>
        <w:rPr>
          <w:highlight w:val="none"/>
        </w:rPr>
      </w:pPr>
      <w:r>
        <w:rPr>
          <w:rFonts w:ascii="Times New Roman" w:eastAsia="Times New Roman"/>
          <w:highlight w:val="none"/>
          <w:u w:val="single"/>
        </w:rPr>
        <w:t xml:space="preserve"> </w:t>
      </w:r>
      <w:r>
        <w:rPr>
          <w:rFonts w:ascii="Times New Roman" w:eastAsia="Times New Roman"/>
          <w:highlight w:val="none"/>
          <w:u w:val="single"/>
        </w:rPr>
        <w:tab/>
      </w:r>
      <w:r>
        <w:rPr>
          <w:highlight w:val="none"/>
        </w:rPr>
        <w:t>（</w:t>
      </w:r>
      <w:r>
        <w:rPr>
          <w:spacing w:val="-3"/>
          <w:highlight w:val="none"/>
        </w:rPr>
        <w:t>详</w:t>
      </w:r>
      <w:r>
        <w:rPr>
          <w:highlight w:val="none"/>
        </w:rPr>
        <w:t>细</w:t>
      </w:r>
      <w:r>
        <w:rPr>
          <w:spacing w:val="-3"/>
          <w:highlight w:val="none"/>
        </w:rPr>
        <w:t>地址</w:t>
      </w:r>
      <w:r>
        <w:rPr>
          <w:spacing w:val="-25"/>
          <w:highlight w:val="none"/>
        </w:rPr>
        <w:t>）</w:t>
      </w:r>
      <w:r>
        <w:rPr>
          <w:spacing w:val="-3"/>
          <w:highlight w:val="none"/>
        </w:rPr>
        <w:t>或</w:t>
      </w:r>
      <w:r>
        <w:rPr>
          <w:highlight w:val="none"/>
        </w:rPr>
        <w:t>传</w:t>
      </w:r>
      <w:r>
        <w:rPr>
          <w:spacing w:val="-3"/>
          <w:highlight w:val="none"/>
        </w:rPr>
        <w:t>真</w:t>
      </w:r>
      <w:r>
        <w:rPr>
          <w:highlight w:val="none"/>
        </w:rPr>
        <w:t>至</w:t>
      </w:r>
      <w:r>
        <w:rPr>
          <w:highlight w:val="none"/>
          <w:u w:val="single"/>
        </w:rPr>
        <w:t xml:space="preserve"> </w:t>
      </w:r>
      <w:r>
        <w:rPr>
          <w:highlight w:val="none"/>
          <w:u w:val="single"/>
        </w:rPr>
        <w:tab/>
      </w:r>
      <w:r>
        <w:rPr>
          <w:highlight w:val="none"/>
        </w:rPr>
        <w:t>（</w:t>
      </w:r>
      <w:r>
        <w:rPr>
          <w:spacing w:val="-3"/>
          <w:highlight w:val="none"/>
        </w:rPr>
        <w:t>传</w:t>
      </w:r>
      <w:r>
        <w:rPr>
          <w:highlight w:val="none"/>
        </w:rPr>
        <w:t>真</w:t>
      </w:r>
      <w:r>
        <w:rPr>
          <w:spacing w:val="-3"/>
          <w:highlight w:val="none"/>
        </w:rPr>
        <w:t>号码</w:t>
      </w:r>
      <w:r>
        <w:rPr>
          <w:spacing w:val="-24"/>
          <w:highlight w:val="none"/>
        </w:rPr>
        <w:t>）</w:t>
      </w:r>
      <w:r>
        <w:rPr>
          <w:highlight w:val="none"/>
        </w:rPr>
        <w:t>或</w:t>
      </w:r>
    </w:p>
    <w:p>
      <w:pPr>
        <w:pStyle w:val="11"/>
        <w:tabs>
          <w:tab w:val="left" w:pos="7438"/>
          <w:tab w:val="left" w:pos="8384"/>
        </w:tabs>
        <w:spacing w:before="170"/>
        <w:ind w:left="400"/>
        <w:rPr>
          <w:highlight w:val="none"/>
        </w:rPr>
      </w:pPr>
      <w:r>
        <w:rPr>
          <w:highlight w:val="none"/>
        </w:rPr>
        <w:t>通过</w:t>
      </w:r>
      <w:r>
        <w:rPr>
          <w:spacing w:val="-3"/>
          <w:highlight w:val="none"/>
        </w:rPr>
        <w:t>下</w:t>
      </w:r>
      <w:r>
        <w:rPr>
          <w:highlight w:val="none"/>
        </w:rPr>
        <w:t>载</w:t>
      </w:r>
      <w:r>
        <w:rPr>
          <w:spacing w:val="-3"/>
          <w:highlight w:val="none"/>
        </w:rPr>
        <w:t>招</w:t>
      </w:r>
      <w:r>
        <w:rPr>
          <w:highlight w:val="none"/>
        </w:rPr>
        <w:t>标</w:t>
      </w:r>
      <w:r>
        <w:rPr>
          <w:spacing w:val="-3"/>
          <w:highlight w:val="none"/>
        </w:rPr>
        <w:t>文</w:t>
      </w:r>
      <w:r>
        <w:rPr>
          <w:highlight w:val="none"/>
        </w:rPr>
        <w:t>件</w:t>
      </w:r>
      <w:r>
        <w:rPr>
          <w:spacing w:val="-3"/>
          <w:highlight w:val="none"/>
        </w:rPr>
        <w:t>的</w:t>
      </w:r>
      <w:r>
        <w:rPr>
          <w:highlight w:val="none"/>
        </w:rPr>
        <w:t>电</w:t>
      </w:r>
      <w:r>
        <w:rPr>
          <w:spacing w:val="-3"/>
          <w:highlight w:val="none"/>
        </w:rPr>
        <w:t>子</w:t>
      </w:r>
      <w:r>
        <w:rPr>
          <w:highlight w:val="none"/>
        </w:rPr>
        <w:t>招标</w:t>
      </w:r>
      <w:r>
        <w:rPr>
          <w:spacing w:val="-3"/>
          <w:highlight w:val="none"/>
        </w:rPr>
        <w:t>交</w:t>
      </w:r>
      <w:r>
        <w:rPr>
          <w:highlight w:val="none"/>
        </w:rPr>
        <w:t>易</w:t>
      </w:r>
      <w:r>
        <w:rPr>
          <w:spacing w:val="-3"/>
          <w:highlight w:val="none"/>
        </w:rPr>
        <w:t>平</w:t>
      </w:r>
      <w:r>
        <w:rPr>
          <w:highlight w:val="none"/>
        </w:rPr>
        <w:t>台</w:t>
      </w:r>
      <w:r>
        <w:rPr>
          <w:spacing w:val="-3"/>
          <w:highlight w:val="none"/>
        </w:rPr>
        <w:t>上</w:t>
      </w:r>
      <w:r>
        <w:rPr>
          <w:highlight w:val="none"/>
        </w:rPr>
        <w:t>传</w:t>
      </w:r>
      <w:r>
        <w:rPr>
          <w:spacing w:val="-3"/>
          <w:highlight w:val="none"/>
        </w:rPr>
        <w:t>。</w:t>
      </w:r>
      <w:r>
        <w:rPr>
          <w:highlight w:val="none"/>
        </w:rPr>
        <w:t>采</w:t>
      </w:r>
      <w:r>
        <w:rPr>
          <w:spacing w:val="-3"/>
          <w:highlight w:val="none"/>
        </w:rPr>
        <w:t>用</w:t>
      </w:r>
      <w:r>
        <w:rPr>
          <w:highlight w:val="none"/>
        </w:rPr>
        <w:t>传真</w:t>
      </w:r>
      <w:r>
        <w:rPr>
          <w:spacing w:val="-3"/>
          <w:highlight w:val="none"/>
        </w:rPr>
        <w:t>方</w:t>
      </w:r>
      <w:r>
        <w:rPr>
          <w:highlight w:val="none"/>
        </w:rPr>
        <w:t>式</w:t>
      </w:r>
      <w:r>
        <w:rPr>
          <w:spacing w:val="-3"/>
          <w:highlight w:val="none"/>
        </w:rPr>
        <w:t>的</w:t>
      </w:r>
      <w:r>
        <w:rPr>
          <w:highlight w:val="none"/>
        </w:rPr>
        <w:t>，</w:t>
      </w:r>
      <w:r>
        <w:rPr>
          <w:spacing w:val="-3"/>
          <w:highlight w:val="none"/>
        </w:rPr>
        <w:t>应</w:t>
      </w:r>
      <w:r>
        <w:rPr>
          <w:highlight w:val="none"/>
        </w:rPr>
        <w:t>在</w:t>
      </w:r>
      <w:r>
        <w:rPr>
          <w:highlight w:val="none"/>
          <w:u w:val="single"/>
        </w:rPr>
        <w:t xml:space="preserve"> </w:t>
      </w:r>
      <w:r>
        <w:rPr>
          <w:highlight w:val="none"/>
          <w:u w:val="single"/>
        </w:rPr>
        <w:tab/>
      </w:r>
      <w:r>
        <w:rPr>
          <w:highlight w:val="none"/>
        </w:rPr>
        <w:t>年</w:t>
      </w:r>
      <w:r>
        <w:rPr>
          <w:highlight w:val="none"/>
          <w:u w:val="single"/>
        </w:rPr>
        <w:t xml:space="preserve"> </w:t>
      </w:r>
      <w:r>
        <w:rPr>
          <w:highlight w:val="none"/>
          <w:u w:val="single"/>
        </w:rPr>
        <w:tab/>
      </w:r>
      <w:r>
        <w:rPr>
          <w:highlight w:val="none"/>
        </w:rPr>
        <w:t>月</w:t>
      </w:r>
    </w:p>
    <w:p>
      <w:pPr>
        <w:pStyle w:val="11"/>
        <w:tabs>
          <w:tab w:val="left" w:pos="1137"/>
          <w:tab w:val="left" w:pos="2082"/>
          <w:tab w:val="left" w:pos="5969"/>
        </w:tabs>
        <w:spacing w:before="170"/>
        <w:ind w:left="400"/>
        <w:rPr>
          <w:highlight w:val="none"/>
        </w:rPr>
      </w:pPr>
      <w:r>
        <w:rPr>
          <w:rFonts w:ascii="Times New Roman" w:eastAsia="Times New Roman"/>
          <w:highlight w:val="none"/>
          <w:u w:val="single"/>
        </w:rPr>
        <w:t xml:space="preserve"> </w:t>
      </w:r>
      <w:r>
        <w:rPr>
          <w:rFonts w:ascii="Times New Roman" w:eastAsia="Times New Roman"/>
          <w:highlight w:val="none"/>
          <w:u w:val="single"/>
        </w:rPr>
        <w:tab/>
      </w:r>
      <w:r>
        <w:rPr>
          <w:highlight w:val="none"/>
        </w:rPr>
        <w:t>日</w:t>
      </w:r>
      <w:r>
        <w:rPr>
          <w:highlight w:val="none"/>
          <w:u w:val="single"/>
        </w:rPr>
        <w:t xml:space="preserve"> </w:t>
      </w:r>
      <w:r>
        <w:rPr>
          <w:highlight w:val="none"/>
          <w:u w:val="single"/>
        </w:rPr>
        <w:tab/>
      </w:r>
      <w:r>
        <w:rPr>
          <w:spacing w:val="-3"/>
          <w:highlight w:val="none"/>
        </w:rPr>
        <w:t>时</w:t>
      </w:r>
      <w:r>
        <w:rPr>
          <w:highlight w:val="none"/>
        </w:rPr>
        <w:t>前</w:t>
      </w:r>
      <w:r>
        <w:rPr>
          <w:spacing w:val="-3"/>
          <w:highlight w:val="none"/>
        </w:rPr>
        <w:t>将</w:t>
      </w:r>
      <w:r>
        <w:rPr>
          <w:highlight w:val="none"/>
        </w:rPr>
        <w:t>原件</w:t>
      </w:r>
      <w:r>
        <w:rPr>
          <w:spacing w:val="-3"/>
          <w:highlight w:val="none"/>
        </w:rPr>
        <w:t>递</w:t>
      </w:r>
      <w:r>
        <w:rPr>
          <w:highlight w:val="none"/>
        </w:rPr>
        <w:t>交</w:t>
      </w:r>
      <w:r>
        <w:rPr>
          <w:spacing w:val="-3"/>
          <w:highlight w:val="none"/>
        </w:rPr>
        <w:t>至</w:t>
      </w:r>
      <w:r>
        <w:rPr>
          <w:spacing w:val="-3"/>
          <w:highlight w:val="none"/>
          <w:u w:val="single"/>
        </w:rPr>
        <w:t xml:space="preserve"> </w:t>
      </w:r>
      <w:r>
        <w:rPr>
          <w:spacing w:val="-3"/>
          <w:highlight w:val="none"/>
          <w:u w:val="single"/>
        </w:rPr>
        <w:tab/>
      </w:r>
      <w:r>
        <w:rPr>
          <w:spacing w:val="-3"/>
          <w:highlight w:val="none"/>
        </w:rPr>
        <w:t>（</w:t>
      </w:r>
      <w:r>
        <w:rPr>
          <w:highlight w:val="none"/>
        </w:rPr>
        <w:t>详</w:t>
      </w:r>
      <w:r>
        <w:rPr>
          <w:spacing w:val="-3"/>
          <w:highlight w:val="none"/>
        </w:rPr>
        <w:t>细</w:t>
      </w:r>
      <w:r>
        <w:rPr>
          <w:highlight w:val="none"/>
        </w:rPr>
        <w:t>地</w:t>
      </w:r>
      <w:r>
        <w:rPr>
          <w:spacing w:val="-3"/>
          <w:highlight w:val="none"/>
        </w:rPr>
        <w:t>址</w:t>
      </w:r>
      <w:r>
        <w:rPr>
          <w:spacing w:val="-106"/>
          <w:highlight w:val="none"/>
        </w:rPr>
        <w:t>）</w:t>
      </w:r>
      <w:r>
        <w:rPr>
          <w:highlight w:val="none"/>
        </w:rPr>
        <w:t>。</w:t>
      </w:r>
    </w:p>
    <w:p>
      <w:pPr>
        <w:pStyle w:val="11"/>
        <w:rPr>
          <w:sz w:val="20"/>
          <w:highlight w:val="none"/>
        </w:rPr>
      </w:pPr>
    </w:p>
    <w:p>
      <w:pPr>
        <w:pStyle w:val="11"/>
        <w:rPr>
          <w:sz w:val="20"/>
          <w:highlight w:val="none"/>
        </w:rPr>
      </w:pPr>
    </w:p>
    <w:p>
      <w:pPr>
        <w:pStyle w:val="11"/>
        <w:rPr>
          <w:sz w:val="20"/>
          <w:highlight w:val="none"/>
        </w:rPr>
      </w:pPr>
    </w:p>
    <w:p>
      <w:pPr>
        <w:pStyle w:val="11"/>
        <w:rPr>
          <w:sz w:val="16"/>
          <w:highlight w:val="none"/>
        </w:rPr>
      </w:pPr>
    </w:p>
    <w:p>
      <w:pPr>
        <w:pStyle w:val="11"/>
        <w:tabs>
          <w:tab w:val="left" w:pos="7332"/>
        </w:tabs>
        <w:spacing w:before="78"/>
        <w:ind w:left="2500"/>
        <w:rPr>
          <w:highlight w:val="none"/>
        </w:rPr>
      </w:pPr>
      <w:r>
        <w:rPr>
          <w:highlight w:val="none"/>
        </w:rPr>
        <w:t>评标</w:t>
      </w:r>
      <w:r>
        <w:rPr>
          <w:spacing w:val="-3"/>
          <w:highlight w:val="none"/>
        </w:rPr>
        <w:t>委</w:t>
      </w:r>
      <w:r>
        <w:rPr>
          <w:highlight w:val="none"/>
        </w:rPr>
        <w:t>员</w:t>
      </w:r>
      <w:r>
        <w:rPr>
          <w:spacing w:val="-3"/>
          <w:highlight w:val="none"/>
        </w:rPr>
        <w:t>会</w:t>
      </w:r>
      <w:r>
        <w:rPr>
          <w:highlight w:val="none"/>
        </w:rPr>
        <w:t>授</w:t>
      </w:r>
      <w:r>
        <w:rPr>
          <w:spacing w:val="-3"/>
          <w:highlight w:val="none"/>
        </w:rPr>
        <w:t>权</w:t>
      </w:r>
      <w:r>
        <w:rPr>
          <w:highlight w:val="none"/>
        </w:rPr>
        <w:t>的</w:t>
      </w:r>
      <w:r>
        <w:rPr>
          <w:spacing w:val="-3"/>
          <w:highlight w:val="none"/>
        </w:rPr>
        <w:t>招</w:t>
      </w:r>
      <w:r>
        <w:rPr>
          <w:highlight w:val="none"/>
        </w:rPr>
        <w:t>标</w:t>
      </w:r>
      <w:r>
        <w:rPr>
          <w:spacing w:val="-3"/>
          <w:highlight w:val="none"/>
        </w:rPr>
        <w:t>人</w:t>
      </w:r>
      <w:r>
        <w:rPr>
          <w:highlight w:val="none"/>
        </w:rPr>
        <w:t>或招</w:t>
      </w:r>
      <w:r>
        <w:rPr>
          <w:spacing w:val="-3"/>
          <w:highlight w:val="none"/>
        </w:rPr>
        <w:t>标</w:t>
      </w:r>
      <w:r>
        <w:rPr>
          <w:highlight w:val="none"/>
        </w:rPr>
        <w:t>代</w:t>
      </w:r>
      <w:r>
        <w:rPr>
          <w:spacing w:val="-3"/>
          <w:highlight w:val="none"/>
        </w:rPr>
        <w:t>理</w:t>
      </w:r>
      <w:r>
        <w:rPr>
          <w:highlight w:val="none"/>
        </w:rPr>
        <w:t>机</w:t>
      </w:r>
      <w:r>
        <w:rPr>
          <w:spacing w:val="-3"/>
          <w:highlight w:val="none"/>
        </w:rPr>
        <w:t>构</w:t>
      </w:r>
      <w:r>
        <w:rPr>
          <w:highlight w:val="none"/>
        </w:rPr>
        <w:t>：</w:t>
      </w:r>
      <w:r>
        <w:rPr>
          <w:highlight w:val="none"/>
          <w:u w:val="single"/>
        </w:rPr>
        <w:t xml:space="preserve"> </w:t>
      </w:r>
      <w:r>
        <w:rPr>
          <w:highlight w:val="none"/>
          <w:u w:val="single"/>
        </w:rPr>
        <w:tab/>
      </w:r>
      <w:r>
        <w:rPr>
          <w:highlight w:val="none"/>
        </w:rPr>
        <w:t>（签</w:t>
      </w:r>
      <w:r>
        <w:rPr>
          <w:spacing w:val="-3"/>
          <w:highlight w:val="none"/>
        </w:rPr>
        <w:t>字</w:t>
      </w:r>
      <w:r>
        <w:rPr>
          <w:highlight w:val="none"/>
        </w:rPr>
        <w:t>或</w:t>
      </w:r>
      <w:r>
        <w:rPr>
          <w:spacing w:val="-3"/>
          <w:highlight w:val="none"/>
        </w:rPr>
        <w:t>盖</w:t>
      </w:r>
      <w:r>
        <w:rPr>
          <w:highlight w:val="none"/>
        </w:rPr>
        <w:t>章）</w:t>
      </w:r>
    </w:p>
    <w:p>
      <w:pPr>
        <w:pStyle w:val="11"/>
        <w:rPr>
          <w:sz w:val="20"/>
          <w:highlight w:val="none"/>
        </w:rPr>
      </w:pPr>
    </w:p>
    <w:p>
      <w:pPr>
        <w:pStyle w:val="11"/>
        <w:spacing w:before="2"/>
        <w:rPr>
          <w:sz w:val="22"/>
          <w:highlight w:val="none"/>
        </w:rPr>
      </w:pPr>
    </w:p>
    <w:p>
      <w:pPr>
        <w:pStyle w:val="11"/>
        <w:tabs>
          <w:tab w:val="left" w:pos="6103"/>
          <w:tab w:val="left" w:pos="7046"/>
          <w:tab w:val="left" w:pos="7992"/>
        </w:tabs>
        <w:spacing w:before="72"/>
        <w:ind w:left="5261"/>
        <w:rPr>
          <w:highlight w:val="none"/>
        </w:rPr>
      </w:pPr>
      <w:r>
        <w:rPr>
          <w:rFonts w:ascii="Times New Roman" w:eastAsia="Times New Roman"/>
          <w:highlight w:val="none"/>
          <w:u w:val="single"/>
        </w:rPr>
        <w:t xml:space="preserve"> </w:t>
      </w:r>
      <w:r>
        <w:rPr>
          <w:rFonts w:ascii="Times New Roman" w:eastAsia="Times New Roman"/>
          <w:highlight w:val="none"/>
          <w:u w:val="single"/>
        </w:rPr>
        <w:tab/>
      </w:r>
      <w:r>
        <w:rPr>
          <w:spacing w:val="-3"/>
          <w:highlight w:val="none"/>
        </w:rPr>
        <w:t>年</w:t>
      </w:r>
      <w:r>
        <w:rPr>
          <w:spacing w:val="-3"/>
          <w:highlight w:val="none"/>
          <w:u w:val="single"/>
        </w:rPr>
        <w:t xml:space="preserve"> </w:t>
      </w:r>
      <w:r>
        <w:rPr>
          <w:spacing w:val="-3"/>
          <w:highlight w:val="none"/>
          <w:u w:val="single"/>
        </w:rPr>
        <w:tab/>
      </w:r>
      <w:r>
        <w:rPr>
          <w:highlight w:val="none"/>
        </w:rPr>
        <w:t>月</w:t>
      </w:r>
      <w:r>
        <w:rPr>
          <w:highlight w:val="none"/>
          <w:u w:val="single"/>
        </w:rPr>
        <w:t xml:space="preserve"> </w:t>
      </w:r>
      <w:r>
        <w:rPr>
          <w:highlight w:val="none"/>
          <w:u w:val="single"/>
        </w:rPr>
        <w:tab/>
      </w:r>
      <w:r>
        <w:rPr>
          <w:highlight w:val="none"/>
        </w:rPr>
        <w:t>日</w:t>
      </w:r>
    </w:p>
    <w:p>
      <w:pPr>
        <w:rPr>
          <w:highlight w:val="none"/>
        </w:rPr>
        <w:sectPr>
          <w:pgSz w:w="12240" w:h="15840"/>
          <w:pgMar w:top="1400" w:right="1100" w:bottom="1120" w:left="1400" w:header="0" w:footer="841" w:gutter="0"/>
          <w:cols w:space="720" w:num="1"/>
        </w:sectPr>
      </w:pPr>
    </w:p>
    <w:p>
      <w:pPr>
        <w:pStyle w:val="5"/>
        <w:spacing w:before="43"/>
        <w:ind w:left="537" w:firstLine="0"/>
        <w:rPr>
          <w:highlight w:val="none"/>
        </w:rPr>
      </w:pPr>
      <w:bookmarkStart w:id="147" w:name="_bookmark77"/>
      <w:bookmarkEnd w:id="147"/>
      <w:bookmarkStart w:id="148" w:name="_Toc6547"/>
      <w:r>
        <w:rPr>
          <w:highlight w:val="none"/>
        </w:rPr>
        <w:t>附件三：问题的澄清</w:t>
      </w:r>
      <w:bookmarkEnd w:id="148"/>
    </w:p>
    <w:p>
      <w:pPr>
        <w:pStyle w:val="11"/>
        <w:rPr>
          <w:sz w:val="20"/>
          <w:highlight w:val="none"/>
        </w:rPr>
      </w:pPr>
    </w:p>
    <w:p>
      <w:pPr>
        <w:pStyle w:val="11"/>
        <w:rPr>
          <w:sz w:val="20"/>
          <w:highlight w:val="none"/>
        </w:rPr>
      </w:pPr>
    </w:p>
    <w:p>
      <w:pPr>
        <w:pStyle w:val="11"/>
        <w:rPr>
          <w:sz w:val="20"/>
          <w:highlight w:val="none"/>
        </w:rPr>
      </w:pPr>
    </w:p>
    <w:p>
      <w:pPr>
        <w:spacing w:before="193"/>
        <w:ind w:right="296"/>
        <w:jc w:val="center"/>
        <w:rPr>
          <w:sz w:val="28"/>
          <w:highlight w:val="none"/>
        </w:rPr>
      </w:pPr>
      <w:r>
        <w:rPr>
          <w:sz w:val="28"/>
          <w:highlight w:val="none"/>
        </w:rPr>
        <w:t>问题的澄清</w:t>
      </w:r>
    </w:p>
    <w:p>
      <w:pPr>
        <w:pStyle w:val="11"/>
        <w:tabs>
          <w:tab w:val="left" w:pos="2966"/>
        </w:tabs>
        <w:spacing w:before="109"/>
        <w:ind w:left="585"/>
        <w:jc w:val="center"/>
        <w:rPr>
          <w:highlight w:val="none"/>
        </w:rPr>
      </w:pPr>
      <w:r>
        <w:rPr>
          <w:highlight w:val="none"/>
        </w:rPr>
        <w:t>（编</w:t>
      </w:r>
      <w:r>
        <w:rPr>
          <w:spacing w:val="-3"/>
          <w:highlight w:val="none"/>
        </w:rPr>
        <w:t>号</w:t>
      </w:r>
      <w:r>
        <w:rPr>
          <w:highlight w:val="none"/>
        </w:rPr>
        <w:t>：</w:t>
      </w:r>
      <w:r>
        <w:rPr>
          <w:highlight w:val="none"/>
          <w:u w:val="single"/>
        </w:rPr>
        <w:t xml:space="preserve"> </w:t>
      </w:r>
      <w:r>
        <w:rPr>
          <w:highlight w:val="none"/>
          <w:u w:val="single"/>
        </w:rPr>
        <w:tab/>
      </w:r>
      <w:r>
        <w:rPr>
          <w:highlight w:val="none"/>
        </w:rPr>
        <w:t>）</w:t>
      </w:r>
    </w:p>
    <w:p>
      <w:pPr>
        <w:pStyle w:val="11"/>
        <w:rPr>
          <w:sz w:val="20"/>
          <w:highlight w:val="none"/>
        </w:rPr>
      </w:pPr>
    </w:p>
    <w:p>
      <w:pPr>
        <w:pStyle w:val="11"/>
        <w:spacing w:before="8"/>
        <w:rPr>
          <w:sz w:val="18"/>
          <w:highlight w:val="none"/>
        </w:rPr>
      </w:pPr>
    </w:p>
    <w:p>
      <w:pPr>
        <w:pStyle w:val="11"/>
        <w:spacing w:before="72"/>
        <w:ind w:left="400"/>
        <w:rPr>
          <w:highlight w:val="none"/>
        </w:rPr>
      </w:pPr>
      <w:r>
        <w:rPr>
          <w:highlight w:val="none"/>
        </w:rPr>
        <w:t>评标委员会：</w:t>
      </w:r>
    </w:p>
    <w:p>
      <w:pPr>
        <w:pStyle w:val="11"/>
        <w:rPr>
          <w:sz w:val="20"/>
          <w:highlight w:val="none"/>
        </w:rPr>
      </w:pPr>
    </w:p>
    <w:p>
      <w:pPr>
        <w:pStyle w:val="11"/>
        <w:spacing w:before="7"/>
        <w:rPr>
          <w:sz w:val="27"/>
          <w:highlight w:val="none"/>
        </w:rPr>
      </w:pPr>
    </w:p>
    <w:p>
      <w:pPr>
        <w:pStyle w:val="11"/>
        <w:tabs>
          <w:tab w:val="left" w:pos="3760"/>
        </w:tabs>
        <w:ind w:left="822"/>
        <w:rPr>
          <w:highlight w:val="none"/>
        </w:rPr>
      </w:pPr>
      <w:r>
        <w:rPr>
          <w:spacing w:val="-3"/>
          <w:highlight w:val="none"/>
        </w:rPr>
        <w:t>问</w:t>
      </w:r>
      <w:r>
        <w:rPr>
          <w:highlight w:val="none"/>
        </w:rPr>
        <w:t>题</w:t>
      </w:r>
      <w:r>
        <w:rPr>
          <w:spacing w:val="-3"/>
          <w:highlight w:val="none"/>
        </w:rPr>
        <w:t>澄</w:t>
      </w:r>
      <w:r>
        <w:rPr>
          <w:highlight w:val="none"/>
        </w:rPr>
        <w:t>清</w:t>
      </w:r>
      <w:r>
        <w:rPr>
          <w:spacing w:val="-3"/>
          <w:highlight w:val="none"/>
        </w:rPr>
        <w:t>通</w:t>
      </w:r>
      <w:r>
        <w:rPr>
          <w:highlight w:val="none"/>
        </w:rPr>
        <w:t>知</w:t>
      </w:r>
      <w:r>
        <w:rPr>
          <w:spacing w:val="-3"/>
          <w:highlight w:val="none"/>
        </w:rPr>
        <w:t>（</w:t>
      </w:r>
      <w:r>
        <w:rPr>
          <w:highlight w:val="none"/>
        </w:rPr>
        <w:t>编</w:t>
      </w:r>
      <w:r>
        <w:rPr>
          <w:spacing w:val="-3"/>
          <w:highlight w:val="none"/>
        </w:rPr>
        <w:t>号</w:t>
      </w:r>
      <w:r>
        <w:rPr>
          <w:highlight w:val="none"/>
        </w:rPr>
        <w:t>：</w:t>
      </w:r>
      <w:r>
        <w:rPr>
          <w:highlight w:val="none"/>
          <w:u w:val="single"/>
        </w:rPr>
        <w:t xml:space="preserve"> </w:t>
      </w:r>
      <w:r>
        <w:rPr>
          <w:highlight w:val="none"/>
          <w:u w:val="single"/>
        </w:rPr>
        <w:tab/>
      </w:r>
      <w:r>
        <w:rPr>
          <w:highlight w:val="none"/>
        </w:rPr>
        <w:t>）已收</w:t>
      </w:r>
      <w:r>
        <w:rPr>
          <w:spacing w:val="-3"/>
          <w:highlight w:val="none"/>
        </w:rPr>
        <w:t>悉</w:t>
      </w:r>
      <w:r>
        <w:rPr>
          <w:highlight w:val="none"/>
        </w:rPr>
        <w:t>，</w:t>
      </w:r>
      <w:r>
        <w:rPr>
          <w:spacing w:val="-3"/>
          <w:highlight w:val="none"/>
        </w:rPr>
        <w:t>现</w:t>
      </w:r>
      <w:r>
        <w:rPr>
          <w:highlight w:val="none"/>
        </w:rPr>
        <w:t>澄清</w:t>
      </w:r>
      <w:r>
        <w:rPr>
          <w:spacing w:val="-3"/>
          <w:highlight w:val="none"/>
        </w:rPr>
        <w:t>、</w:t>
      </w:r>
      <w:r>
        <w:rPr>
          <w:highlight w:val="none"/>
        </w:rPr>
        <w:t>说</w:t>
      </w:r>
      <w:r>
        <w:rPr>
          <w:spacing w:val="-3"/>
          <w:highlight w:val="none"/>
        </w:rPr>
        <w:t>明</w:t>
      </w:r>
      <w:r>
        <w:rPr>
          <w:highlight w:val="none"/>
        </w:rPr>
        <w:t>或</w:t>
      </w:r>
      <w:r>
        <w:rPr>
          <w:spacing w:val="-3"/>
          <w:highlight w:val="none"/>
        </w:rPr>
        <w:t>补</w:t>
      </w:r>
      <w:r>
        <w:rPr>
          <w:highlight w:val="none"/>
        </w:rPr>
        <w:t>正</w:t>
      </w:r>
      <w:r>
        <w:rPr>
          <w:spacing w:val="-3"/>
          <w:highlight w:val="none"/>
        </w:rPr>
        <w:t>如</w:t>
      </w:r>
      <w:r>
        <w:rPr>
          <w:highlight w:val="none"/>
        </w:rPr>
        <w:t>下：</w:t>
      </w:r>
    </w:p>
    <w:p>
      <w:pPr>
        <w:pStyle w:val="11"/>
        <w:spacing w:before="187"/>
        <w:ind w:right="7305"/>
        <w:jc w:val="center"/>
        <w:rPr>
          <w:rFonts w:ascii="Times New Roman"/>
          <w:highlight w:val="none"/>
        </w:rPr>
      </w:pPr>
      <w:r>
        <w:rPr>
          <w:rFonts w:ascii="Times New Roman"/>
          <w:highlight w:val="none"/>
        </w:rPr>
        <w:t>1.</w:t>
      </w:r>
    </w:p>
    <w:p>
      <w:pPr>
        <w:pStyle w:val="11"/>
        <w:spacing w:before="198"/>
        <w:ind w:right="7305"/>
        <w:jc w:val="center"/>
        <w:rPr>
          <w:rFonts w:ascii="Times New Roman"/>
          <w:highlight w:val="none"/>
        </w:rPr>
      </w:pPr>
      <w:r>
        <w:rPr>
          <w:rFonts w:ascii="Times New Roman"/>
          <w:highlight w:val="none"/>
        </w:rPr>
        <w:t>2.</w:t>
      </w:r>
    </w:p>
    <w:p>
      <w:pPr>
        <w:pStyle w:val="11"/>
        <w:spacing w:before="197"/>
        <w:ind w:right="7410"/>
        <w:jc w:val="center"/>
        <w:rPr>
          <w:rFonts w:ascii="Times New Roman"/>
          <w:highlight w:val="none"/>
        </w:rPr>
      </w:pPr>
      <w:r>
        <w:rPr>
          <w:rFonts w:ascii="Times New Roman"/>
          <w:highlight w:val="none"/>
        </w:rPr>
        <w:t>.....</w:t>
      </w:r>
    </w:p>
    <w:p>
      <w:pPr>
        <w:pStyle w:val="11"/>
        <w:rPr>
          <w:rFonts w:ascii="Times New Roman"/>
          <w:sz w:val="22"/>
          <w:highlight w:val="none"/>
        </w:rPr>
      </w:pPr>
    </w:p>
    <w:p>
      <w:pPr>
        <w:pStyle w:val="11"/>
        <w:rPr>
          <w:rFonts w:ascii="Times New Roman"/>
          <w:sz w:val="22"/>
          <w:highlight w:val="none"/>
        </w:rPr>
      </w:pPr>
    </w:p>
    <w:p>
      <w:pPr>
        <w:pStyle w:val="11"/>
        <w:rPr>
          <w:rFonts w:ascii="Times New Roman"/>
          <w:sz w:val="22"/>
          <w:highlight w:val="none"/>
        </w:rPr>
      </w:pPr>
    </w:p>
    <w:p>
      <w:pPr>
        <w:pStyle w:val="11"/>
        <w:rPr>
          <w:rFonts w:ascii="Times New Roman"/>
          <w:sz w:val="22"/>
          <w:highlight w:val="none"/>
        </w:rPr>
      </w:pPr>
    </w:p>
    <w:p>
      <w:pPr>
        <w:pStyle w:val="11"/>
        <w:rPr>
          <w:rFonts w:ascii="Times New Roman"/>
          <w:sz w:val="22"/>
          <w:highlight w:val="none"/>
        </w:rPr>
      </w:pPr>
    </w:p>
    <w:p>
      <w:pPr>
        <w:pStyle w:val="11"/>
        <w:rPr>
          <w:rFonts w:ascii="Times New Roman"/>
          <w:highlight w:val="none"/>
        </w:rPr>
      </w:pPr>
    </w:p>
    <w:p>
      <w:pPr>
        <w:pStyle w:val="11"/>
        <w:spacing w:before="1" w:line="391" w:lineRule="auto"/>
        <w:ind w:left="400" w:right="694" w:firstLine="419"/>
        <w:rPr>
          <w:highlight w:val="none"/>
        </w:rPr>
      </w:pPr>
      <w:r>
        <w:rPr>
          <w:spacing w:val="-4"/>
          <w:highlight w:val="none"/>
        </w:rPr>
        <w:t>上述问题澄清、说明或补正，不改变我方投标文件的实质性内容，构成我方投标文件的组</w:t>
      </w:r>
      <w:r>
        <w:rPr>
          <w:spacing w:val="-1"/>
          <w:highlight w:val="none"/>
        </w:rPr>
        <w:t>成部分。</w:t>
      </w:r>
    </w:p>
    <w:p>
      <w:pPr>
        <w:pStyle w:val="11"/>
        <w:rPr>
          <w:sz w:val="20"/>
          <w:highlight w:val="none"/>
        </w:rPr>
      </w:pPr>
    </w:p>
    <w:p>
      <w:pPr>
        <w:pStyle w:val="11"/>
        <w:rPr>
          <w:sz w:val="20"/>
          <w:highlight w:val="none"/>
        </w:rPr>
      </w:pPr>
    </w:p>
    <w:p>
      <w:pPr>
        <w:pStyle w:val="11"/>
        <w:spacing w:before="10"/>
        <w:rPr>
          <w:sz w:val="17"/>
          <w:highlight w:val="none"/>
        </w:rPr>
      </w:pPr>
    </w:p>
    <w:p>
      <w:pPr>
        <w:pStyle w:val="11"/>
        <w:tabs>
          <w:tab w:val="left" w:pos="7682"/>
        </w:tabs>
        <w:ind w:left="3343"/>
        <w:rPr>
          <w:highlight w:val="none"/>
        </w:rPr>
      </w:pPr>
      <w:r>
        <w:rPr>
          <w:highlight w:val="none"/>
        </w:rPr>
        <w:t>投</w:t>
      </w:r>
      <w:r>
        <w:rPr>
          <w:spacing w:val="-3"/>
          <w:highlight w:val="none"/>
        </w:rPr>
        <w:t>标</w:t>
      </w:r>
      <w:r>
        <w:rPr>
          <w:highlight w:val="none"/>
        </w:rPr>
        <w:t>人：</w:t>
      </w:r>
      <w:r>
        <w:rPr>
          <w:highlight w:val="none"/>
          <w:u w:val="single"/>
        </w:rPr>
        <w:t xml:space="preserve"> </w:t>
      </w:r>
      <w:r>
        <w:rPr>
          <w:highlight w:val="none"/>
          <w:u w:val="single"/>
        </w:rPr>
        <w:tab/>
      </w:r>
      <w:r>
        <w:rPr>
          <w:highlight w:val="none"/>
        </w:rPr>
        <w:t>（盖</w:t>
      </w:r>
      <w:r>
        <w:rPr>
          <w:spacing w:val="-3"/>
          <w:highlight w:val="none"/>
        </w:rPr>
        <w:t>单</w:t>
      </w:r>
      <w:r>
        <w:rPr>
          <w:highlight w:val="none"/>
        </w:rPr>
        <w:t>位</w:t>
      </w:r>
      <w:r>
        <w:rPr>
          <w:spacing w:val="-3"/>
          <w:highlight w:val="none"/>
        </w:rPr>
        <w:t>章</w:t>
      </w:r>
      <w:r>
        <w:rPr>
          <w:highlight w:val="none"/>
        </w:rPr>
        <w:t>）</w:t>
      </w:r>
    </w:p>
    <w:p>
      <w:pPr>
        <w:pStyle w:val="11"/>
        <w:spacing w:before="12"/>
        <w:rPr>
          <w:sz w:val="15"/>
          <w:highlight w:val="none"/>
        </w:rPr>
      </w:pPr>
    </w:p>
    <w:p>
      <w:pPr>
        <w:pStyle w:val="11"/>
        <w:tabs>
          <w:tab w:val="left" w:pos="8204"/>
        </w:tabs>
        <w:spacing w:before="71"/>
        <w:ind w:left="3341"/>
        <w:rPr>
          <w:highlight w:val="none"/>
        </w:rPr>
      </w:pPr>
      <w:r>
        <w:rPr>
          <w:highlight w:val="none"/>
        </w:rPr>
        <w:t>法</w:t>
      </w:r>
      <w:r>
        <w:rPr>
          <w:spacing w:val="-3"/>
          <w:highlight w:val="none"/>
        </w:rPr>
        <w:t>定</w:t>
      </w:r>
      <w:r>
        <w:rPr>
          <w:highlight w:val="none"/>
        </w:rPr>
        <w:t>代</w:t>
      </w:r>
      <w:r>
        <w:rPr>
          <w:spacing w:val="-3"/>
          <w:highlight w:val="none"/>
        </w:rPr>
        <w:t>表</w:t>
      </w:r>
      <w:r>
        <w:rPr>
          <w:spacing w:val="-46"/>
          <w:highlight w:val="none"/>
        </w:rPr>
        <w:t>人</w:t>
      </w:r>
      <w:r>
        <w:rPr>
          <w:highlight w:val="none"/>
        </w:rPr>
        <w:t>（</w:t>
      </w:r>
      <w:r>
        <w:rPr>
          <w:spacing w:val="-3"/>
          <w:highlight w:val="none"/>
        </w:rPr>
        <w:t>单</w:t>
      </w:r>
      <w:r>
        <w:rPr>
          <w:highlight w:val="none"/>
        </w:rPr>
        <w:t>位</w:t>
      </w:r>
      <w:r>
        <w:rPr>
          <w:spacing w:val="-3"/>
          <w:highlight w:val="none"/>
        </w:rPr>
        <w:t>负</w:t>
      </w:r>
      <w:r>
        <w:rPr>
          <w:highlight w:val="none"/>
        </w:rPr>
        <w:t>责</w:t>
      </w:r>
      <w:r>
        <w:rPr>
          <w:spacing w:val="-3"/>
          <w:highlight w:val="none"/>
        </w:rPr>
        <w:t>人</w:t>
      </w:r>
      <w:r>
        <w:rPr>
          <w:spacing w:val="-46"/>
          <w:highlight w:val="none"/>
        </w:rPr>
        <w:t>）</w:t>
      </w:r>
      <w:r>
        <w:rPr>
          <w:highlight w:val="none"/>
        </w:rPr>
        <w:t>或</w:t>
      </w:r>
      <w:r>
        <w:rPr>
          <w:spacing w:val="-3"/>
          <w:highlight w:val="none"/>
        </w:rPr>
        <w:t>其</w:t>
      </w:r>
      <w:r>
        <w:rPr>
          <w:highlight w:val="none"/>
        </w:rPr>
        <w:t>委</w:t>
      </w:r>
      <w:r>
        <w:rPr>
          <w:spacing w:val="-3"/>
          <w:highlight w:val="none"/>
        </w:rPr>
        <w:t>托</w:t>
      </w:r>
      <w:r>
        <w:rPr>
          <w:highlight w:val="none"/>
        </w:rPr>
        <w:t>代</w:t>
      </w:r>
      <w:r>
        <w:rPr>
          <w:spacing w:val="-3"/>
          <w:highlight w:val="none"/>
        </w:rPr>
        <w:t>理</w:t>
      </w:r>
      <w:r>
        <w:rPr>
          <w:highlight w:val="none"/>
        </w:rPr>
        <w:t>人</w:t>
      </w:r>
      <w:r>
        <w:rPr>
          <w:highlight w:val="none"/>
          <w:u w:val="single"/>
        </w:rPr>
        <w:t>：</w:t>
      </w:r>
      <w:r>
        <w:rPr>
          <w:highlight w:val="none"/>
          <w:u w:val="single"/>
        </w:rPr>
        <w:tab/>
      </w:r>
      <w:r>
        <w:rPr>
          <w:highlight w:val="none"/>
          <w:u w:val="single"/>
        </w:rPr>
        <w:t>（</w:t>
      </w:r>
      <w:r>
        <w:rPr>
          <w:spacing w:val="-3"/>
          <w:highlight w:val="none"/>
        </w:rPr>
        <w:t>签字</w:t>
      </w:r>
      <w:r>
        <w:rPr>
          <w:highlight w:val="none"/>
        </w:rPr>
        <w:t>）</w:t>
      </w:r>
    </w:p>
    <w:p>
      <w:pPr>
        <w:pStyle w:val="11"/>
        <w:rPr>
          <w:sz w:val="20"/>
          <w:highlight w:val="none"/>
        </w:rPr>
      </w:pPr>
    </w:p>
    <w:p>
      <w:pPr>
        <w:pStyle w:val="11"/>
        <w:rPr>
          <w:sz w:val="20"/>
          <w:highlight w:val="none"/>
        </w:rPr>
      </w:pPr>
    </w:p>
    <w:p>
      <w:pPr>
        <w:pStyle w:val="11"/>
        <w:spacing w:before="4"/>
        <w:rPr>
          <w:highlight w:val="none"/>
        </w:rPr>
      </w:pPr>
    </w:p>
    <w:p>
      <w:pPr>
        <w:pStyle w:val="11"/>
        <w:tabs>
          <w:tab w:val="left" w:pos="6734"/>
          <w:tab w:val="left" w:pos="7783"/>
          <w:tab w:val="left" w:pos="8833"/>
        </w:tabs>
        <w:spacing w:before="72"/>
        <w:ind w:left="5895"/>
        <w:rPr>
          <w:highlight w:val="none"/>
        </w:rPr>
      </w:pPr>
      <w:r>
        <w:rPr>
          <w:rFonts w:ascii="Times New Roman" w:eastAsia="Times New Roman"/>
          <w:highlight w:val="none"/>
          <w:u w:val="single"/>
        </w:rPr>
        <w:t xml:space="preserve"> </w:t>
      </w:r>
      <w:r>
        <w:rPr>
          <w:rFonts w:ascii="Times New Roman" w:eastAsia="Times New Roman"/>
          <w:highlight w:val="none"/>
          <w:u w:val="single"/>
        </w:rPr>
        <w:tab/>
      </w:r>
      <w:r>
        <w:rPr>
          <w:spacing w:val="-3"/>
          <w:highlight w:val="none"/>
        </w:rPr>
        <w:t>年</w:t>
      </w:r>
      <w:r>
        <w:rPr>
          <w:spacing w:val="-3"/>
          <w:highlight w:val="none"/>
          <w:u w:val="single"/>
        </w:rPr>
        <w:t xml:space="preserve"> </w:t>
      </w:r>
      <w:r>
        <w:rPr>
          <w:spacing w:val="-3"/>
          <w:highlight w:val="none"/>
          <w:u w:val="single"/>
        </w:rPr>
        <w:tab/>
      </w:r>
      <w:r>
        <w:rPr>
          <w:highlight w:val="none"/>
        </w:rPr>
        <w:t>月</w:t>
      </w:r>
      <w:r>
        <w:rPr>
          <w:highlight w:val="none"/>
          <w:u w:val="single"/>
        </w:rPr>
        <w:t xml:space="preserve"> </w:t>
      </w:r>
      <w:r>
        <w:rPr>
          <w:highlight w:val="none"/>
          <w:u w:val="single"/>
        </w:rPr>
        <w:tab/>
      </w:r>
      <w:r>
        <w:rPr>
          <w:highlight w:val="none"/>
        </w:rPr>
        <w:t>日</w:t>
      </w:r>
    </w:p>
    <w:p>
      <w:pPr>
        <w:rPr>
          <w:highlight w:val="none"/>
        </w:rPr>
        <w:sectPr>
          <w:pgSz w:w="12240" w:h="15840"/>
          <w:pgMar w:top="1400" w:right="1100" w:bottom="1120" w:left="1400" w:header="0" w:footer="841" w:gutter="0"/>
          <w:cols w:space="720" w:num="1"/>
        </w:sectPr>
      </w:pPr>
    </w:p>
    <w:p>
      <w:pPr>
        <w:pStyle w:val="5"/>
        <w:spacing w:before="43"/>
        <w:ind w:left="537" w:firstLine="0"/>
        <w:rPr>
          <w:highlight w:val="none"/>
        </w:rPr>
      </w:pPr>
      <w:bookmarkStart w:id="149" w:name="_bookmark78"/>
      <w:bookmarkEnd w:id="149"/>
      <w:bookmarkStart w:id="150" w:name="_Toc10551"/>
      <w:r>
        <w:rPr>
          <w:highlight w:val="none"/>
        </w:rPr>
        <w:t>附件四：中标通知书</w:t>
      </w:r>
      <w:bookmarkEnd w:id="150"/>
    </w:p>
    <w:p>
      <w:pPr>
        <w:pStyle w:val="11"/>
        <w:rPr>
          <w:sz w:val="20"/>
          <w:highlight w:val="none"/>
        </w:rPr>
      </w:pPr>
    </w:p>
    <w:p>
      <w:pPr>
        <w:pStyle w:val="11"/>
        <w:rPr>
          <w:sz w:val="20"/>
          <w:highlight w:val="none"/>
        </w:rPr>
      </w:pPr>
    </w:p>
    <w:p>
      <w:pPr>
        <w:pStyle w:val="11"/>
        <w:rPr>
          <w:sz w:val="20"/>
          <w:highlight w:val="none"/>
        </w:rPr>
      </w:pPr>
    </w:p>
    <w:p>
      <w:pPr>
        <w:spacing w:before="193"/>
        <w:ind w:right="296"/>
        <w:jc w:val="center"/>
        <w:rPr>
          <w:sz w:val="28"/>
          <w:highlight w:val="none"/>
        </w:rPr>
      </w:pPr>
      <w:r>
        <w:rPr>
          <w:sz w:val="28"/>
          <w:highlight w:val="none"/>
        </w:rPr>
        <w:t>中标通知书</w:t>
      </w:r>
    </w:p>
    <w:p>
      <w:pPr>
        <w:pStyle w:val="11"/>
        <w:rPr>
          <w:sz w:val="28"/>
          <w:highlight w:val="none"/>
        </w:rPr>
      </w:pPr>
    </w:p>
    <w:p>
      <w:pPr>
        <w:pStyle w:val="11"/>
        <w:tabs>
          <w:tab w:val="left" w:pos="2920"/>
        </w:tabs>
        <w:spacing w:before="185"/>
        <w:ind w:left="400"/>
        <w:rPr>
          <w:highlight w:val="none"/>
        </w:rPr>
      </w:pPr>
      <w:r>
        <w:rPr>
          <w:rFonts w:ascii="Times New Roman" w:eastAsia="Times New Roman"/>
          <w:highlight w:val="none"/>
          <w:u w:val="single"/>
        </w:rPr>
        <w:t xml:space="preserve"> </w:t>
      </w:r>
      <w:r>
        <w:rPr>
          <w:rFonts w:ascii="Times New Roman" w:eastAsia="Times New Roman"/>
          <w:highlight w:val="none"/>
          <w:u w:val="single"/>
        </w:rPr>
        <w:tab/>
      </w:r>
      <w:r>
        <w:rPr>
          <w:highlight w:val="none"/>
        </w:rPr>
        <w:t>（</w:t>
      </w:r>
      <w:r>
        <w:rPr>
          <w:spacing w:val="-3"/>
          <w:highlight w:val="none"/>
        </w:rPr>
        <w:t>中标人名称</w:t>
      </w:r>
      <w:r>
        <w:rPr>
          <w:spacing w:val="-108"/>
          <w:highlight w:val="none"/>
        </w:rPr>
        <w:t>）</w:t>
      </w:r>
      <w:r>
        <w:rPr>
          <w:highlight w:val="none"/>
        </w:rPr>
        <w:t>：</w:t>
      </w:r>
    </w:p>
    <w:p>
      <w:pPr>
        <w:pStyle w:val="11"/>
        <w:rPr>
          <w:sz w:val="20"/>
          <w:highlight w:val="none"/>
        </w:rPr>
      </w:pPr>
    </w:p>
    <w:p>
      <w:pPr>
        <w:pStyle w:val="11"/>
        <w:spacing w:before="9"/>
        <w:rPr>
          <w:highlight w:val="none"/>
        </w:rPr>
      </w:pPr>
    </w:p>
    <w:p>
      <w:pPr>
        <w:pStyle w:val="11"/>
        <w:tabs>
          <w:tab w:val="left" w:pos="3112"/>
          <w:tab w:val="left" w:pos="6962"/>
        </w:tabs>
        <w:spacing w:before="78" w:line="480" w:lineRule="auto"/>
        <w:ind w:left="822"/>
        <w:rPr>
          <w:highlight w:val="none"/>
        </w:rPr>
      </w:pPr>
      <w:r>
        <w:rPr>
          <w:spacing w:val="-3"/>
          <w:highlight w:val="none"/>
        </w:rPr>
        <w:t>你</w:t>
      </w:r>
      <w:r>
        <w:rPr>
          <w:highlight w:val="none"/>
        </w:rPr>
        <w:t>方</w:t>
      </w:r>
      <w:r>
        <w:rPr>
          <w:spacing w:val="-3"/>
          <w:highlight w:val="none"/>
        </w:rPr>
        <w:t>于</w:t>
      </w:r>
      <w:r>
        <w:rPr>
          <w:spacing w:val="-3"/>
          <w:highlight w:val="none"/>
          <w:u w:val="single"/>
        </w:rPr>
        <w:t xml:space="preserve"> </w:t>
      </w:r>
      <w:r>
        <w:rPr>
          <w:spacing w:val="-3"/>
          <w:highlight w:val="none"/>
          <w:u w:val="single"/>
        </w:rPr>
        <w:tab/>
      </w:r>
      <w:r>
        <w:rPr>
          <w:spacing w:val="-3"/>
          <w:highlight w:val="none"/>
        </w:rPr>
        <w:t>（</w:t>
      </w:r>
      <w:r>
        <w:rPr>
          <w:highlight w:val="none"/>
        </w:rPr>
        <w:t>投</w:t>
      </w:r>
      <w:r>
        <w:rPr>
          <w:spacing w:val="-3"/>
          <w:highlight w:val="none"/>
        </w:rPr>
        <w:t>标</w:t>
      </w:r>
      <w:r>
        <w:rPr>
          <w:highlight w:val="none"/>
        </w:rPr>
        <w:t>日期</w:t>
      </w:r>
      <w:r>
        <w:rPr>
          <w:spacing w:val="-22"/>
          <w:highlight w:val="none"/>
        </w:rPr>
        <w:t>）</w:t>
      </w:r>
      <w:r>
        <w:rPr>
          <w:highlight w:val="none"/>
        </w:rPr>
        <w:t>所</w:t>
      </w:r>
      <w:r>
        <w:rPr>
          <w:spacing w:val="-3"/>
          <w:highlight w:val="none"/>
        </w:rPr>
        <w:t>递</w:t>
      </w:r>
      <w:r>
        <w:rPr>
          <w:highlight w:val="none"/>
        </w:rPr>
        <w:t>交</w:t>
      </w:r>
      <w:r>
        <w:rPr>
          <w:spacing w:val="-3"/>
          <w:highlight w:val="none"/>
        </w:rPr>
        <w:t>的</w:t>
      </w:r>
      <w:r>
        <w:rPr>
          <w:spacing w:val="-3"/>
          <w:highlight w:val="none"/>
          <w:u w:val="single"/>
        </w:rPr>
        <w:t xml:space="preserve"> </w:t>
      </w:r>
      <w:r>
        <w:rPr>
          <w:spacing w:val="-3"/>
          <w:highlight w:val="none"/>
          <w:u w:val="single"/>
        </w:rPr>
        <w:tab/>
      </w:r>
      <w:r>
        <w:rPr>
          <w:spacing w:val="-3"/>
          <w:highlight w:val="none"/>
        </w:rPr>
        <w:t>（</w:t>
      </w:r>
      <w:r>
        <w:rPr>
          <w:highlight w:val="none"/>
        </w:rPr>
        <w:t>项</w:t>
      </w:r>
      <w:r>
        <w:rPr>
          <w:spacing w:val="-3"/>
          <w:highlight w:val="none"/>
        </w:rPr>
        <w:t>目</w:t>
      </w:r>
      <w:r>
        <w:rPr>
          <w:highlight w:val="none"/>
        </w:rPr>
        <w:t>名称</w:t>
      </w:r>
      <w:r>
        <w:rPr>
          <w:spacing w:val="-22"/>
          <w:highlight w:val="none"/>
        </w:rPr>
        <w:t>）</w:t>
      </w:r>
      <w:r>
        <w:rPr>
          <w:highlight w:val="none"/>
        </w:rPr>
        <w:t>采购</w:t>
      </w:r>
    </w:p>
    <w:p>
      <w:pPr>
        <w:pStyle w:val="11"/>
        <w:tabs>
          <w:tab w:val="left" w:pos="3340"/>
        </w:tabs>
        <w:spacing w:before="170" w:line="480" w:lineRule="auto"/>
        <w:ind w:left="822" w:right="4712" w:hanging="423"/>
        <w:rPr>
          <w:highlight w:val="none"/>
        </w:rPr>
      </w:pPr>
      <w:r>
        <w:rPr>
          <w:highlight w:val="none"/>
        </w:rPr>
        <w:pict>
          <v:line id="_x0000_s1026" o:spid="_x0000_s1026" o:spt="20" style="position:absolute;left:0pt;margin-left:153.1pt;margin-top:42.4pt;height:0pt;width:83.9pt;mso-position-horizontal-relative:page;z-index:-251656192;mso-width-relative:page;mso-height-relative:page;" coordsize="21600,21600" o:gfxdata="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hALeJ2AAAAAkBAAAPAAAAAAAAAAEAIAAAACIAAABk&#10;cnMvZG93bnJldi54bWxQSwECFAAUAAAACACHTuJAvoTzsM0BAACNAwAADgAAAAAAAAABACAAAAAn&#10;AQAAZHJzL2Uyb0RvYy54bWxQSwUGAAAAAAYABgBZAQAAZgUAAAAA&#10;">
            <v:path arrowok="t"/>
            <v:fill focussize="0,0"/>
            <v:stroke weight="0.48pt"/>
            <v:imagedata o:title=""/>
            <o:lock v:ext="edit"/>
          </v:line>
        </w:pict>
      </w:r>
      <w:r>
        <w:rPr>
          <w:highlight w:val="none"/>
        </w:rPr>
        <w:t>招标</w:t>
      </w:r>
      <w:r>
        <w:rPr>
          <w:spacing w:val="-3"/>
          <w:highlight w:val="none"/>
        </w:rPr>
        <w:t>的</w:t>
      </w:r>
      <w:r>
        <w:rPr>
          <w:highlight w:val="none"/>
        </w:rPr>
        <w:t>投</w:t>
      </w:r>
      <w:r>
        <w:rPr>
          <w:spacing w:val="-3"/>
          <w:highlight w:val="none"/>
        </w:rPr>
        <w:t>标</w:t>
      </w:r>
      <w:r>
        <w:rPr>
          <w:highlight w:val="none"/>
        </w:rPr>
        <w:t>文</w:t>
      </w:r>
      <w:r>
        <w:rPr>
          <w:spacing w:val="-3"/>
          <w:highlight w:val="none"/>
        </w:rPr>
        <w:t>件</w:t>
      </w:r>
      <w:r>
        <w:rPr>
          <w:highlight w:val="none"/>
        </w:rPr>
        <w:t>已</w:t>
      </w:r>
      <w:r>
        <w:rPr>
          <w:spacing w:val="-3"/>
          <w:highlight w:val="none"/>
        </w:rPr>
        <w:t>被</w:t>
      </w:r>
      <w:r>
        <w:rPr>
          <w:highlight w:val="none"/>
        </w:rPr>
        <w:t>我</w:t>
      </w:r>
      <w:r>
        <w:rPr>
          <w:spacing w:val="-3"/>
          <w:highlight w:val="none"/>
        </w:rPr>
        <w:t>方</w:t>
      </w:r>
      <w:r>
        <w:rPr>
          <w:highlight w:val="none"/>
        </w:rPr>
        <w:t>接受</w:t>
      </w:r>
      <w:r>
        <w:rPr>
          <w:spacing w:val="-3"/>
          <w:highlight w:val="none"/>
        </w:rPr>
        <w:t>，</w:t>
      </w:r>
      <w:r>
        <w:rPr>
          <w:highlight w:val="none"/>
        </w:rPr>
        <w:t>被</w:t>
      </w:r>
      <w:r>
        <w:rPr>
          <w:spacing w:val="-3"/>
          <w:highlight w:val="none"/>
        </w:rPr>
        <w:t>确</w:t>
      </w:r>
      <w:r>
        <w:rPr>
          <w:highlight w:val="none"/>
        </w:rPr>
        <w:t>定</w:t>
      </w:r>
      <w:r>
        <w:rPr>
          <w:spacing w:val="-3"/>
          <w:highlight w:val="none"/>
        </w:rPr>
        <w:t>为</w:t>
      </w:r>
      <w:r>
        <w:rPr>
          <w:highlight w:val="none"/>
        </w:rPr>
        <w:t>中</w:t>
      </w:r>
      <w:r>
        <w:rPr>
          <w:spacing w:val="-3"/>
          <w:highlight w:val="none"/>
        </w:rPr>
        <w:t>标</w:t>
      </w:r>
      <w:r>
        <w:rPr>
          <w:highlight w:val="none"/>
        </w:rPr>
        <w:t>人。</w:t>
      </w:r>
      <w:r>
        <w:rPr>
          <w:spacing w:val="-3"/>
          <w:highlight w:val="none"/>
        </w:rPr>
        <w:t>中</w:t>
      </w:r>
      <w:r>
        <w:rPr>
          <w:highlight w:val="none"/>
        </w:rPr>
        <w:t>标</w:t>
      </w:r>
      <w:r>
        <w:rPr>
          <w:spacing w:val="-3"/>
          <w:highlight w:val="none"/>
        </w:rPr>
        <w:t>价</w:t>
      </w:r>
      <w:r>
        <w:rPr>
          <w:highlight w:val="none"/>
        </w:rPr>
        <w:t>：</w:t>
      </w:r>
      <w:r>
        <w:rPr>
          <w:highlight w:val="none"/>
        </w:rPr>
        <w:tab/>
      </w:r>
      <w:r>
        <w:rPr>
          <w:highlight w:val="none"/>
        </w:rPr>
        <w:t>元。</w:t>
      </w:r>
    </w:p>
    <w:p>
      <w:pPr>
        <w:pStyle w:val="11"/>
        <w:tabs>
          <w:tab w:val="left" w:pos="4183"/>
          <w:tab w:val="left" w:pos="6770"/>
        </w:tabs>
        <w:spacing w:before="4" w:line="480" w:lineRule="auto"/>
        <w:ind w:left="400" w:right="691" w:firstLine="419"/>
        <w:rPr>
          <w:highlight w:val="none"/>
        </w:rPr>
      </w:pPr>
      <w:r>
        <w:rPr>
          <w:highlight w:val="none"/>
        </w:rPr>
        <w:pict>
          <v:line id="_x0000_s1027" o:spid="_x0000_s1027" o:spt="20" style="position:absolute;left:0pt;margin-left:237.15pt;margin-top:12.1pt;height:0pt;width:42pt;mso-position-horizontal-relative:page;z-index:-251655168;mso-width-relative:page;mso-height-relative:page;" coordsize="21600,21600" o:gfxdata="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72QFbYAAAACQEAAA8AAAAAAAAAAQAgAAAAIgAAAGRy&#10;cy9kb3ducmV2LnhtbFBLAQIUABQAAAAIAIdO4kAup075zAEAAIwDAAAOAAAAAAAAAAEAIAAAACcB&#10;AABkcnMvZTJvRG9jLnhtbFBLBQYAAAAABgAGAFkBAABlBQAAAAA=&#10;">
            <v:path arrowok="t"/>
            <v:fill focussize="0,0"/>
            <v:stroke weight="0.48pt"/>
            <v:imagedata o:title=""/>
            <o:lock v:ext="edit"/>
          </v:line>
        </w:pict>
      </w:r>
      <w:r>
        <w:rPr>
          <w:highlight w:val="none"/>
        </w:rPr>
        <w:t>请你</w:t>
      </w:r>
      <w:r>
        <w:rPr>
          <w:spacing w:val="-3"/>
          <w:highlight w:val="none"/>
        </w:rPr>
        <w:t>方</w:t>
      </w:r>
      <w:r>
        <w:rPr>
          <w:highlight w:val="none"/>
        </w:rPr>
        <w:t>在</w:t>
      </w:r>
      <w:r>
        <w:rPr>
          <w:spacing w:val="-3"/>
          <w:highlight w:val="none"/>
        </w:rPr>
        <w:t>接</w:t>
      </w:r>
      <w:r>
        <w:rPr>
          <w:highlight w:val="none"/>
        </w:rPr>
        <w:t>到</w:t>
      </w:r>
      <w:r>
        <w:rPr>
          <w:spacing w:val="-3"/>
          <w:highlight w:val="none"/>
        </w:rPr>
        <w:t>本</w:t>
      </w:r>
      <w:r>
        <w:rPr>
          <w:highlight w:val="none"/>
        </w:rPr>
        <w:t>通</w:t>
      </w:r>
      <w:r>
        <w:rPr>
          <w:spacing w:val="-3"/>
          <w:highlight w:val="none"/>
        </w:rPr>
        <w:t>知</w:t>
      </w:r>
      <w:r>
        <w:rPr>
          <w:highlight w:val="none"/>
        </w:rPr>
        <w:t>书</w:t>
      </w:r>
      <w:r>
        <w:rPr>
          <w:spacing w:val="-3"/>
          <w:highlight w:val="none"/>
        </w:rPr>
        <w:t>后</w:t>
      </w:r>
      <w:r>
        <w:rPr>
          <w:highlight w:val="none"/>
        </w:rPr>
        <w:t>的</w:t>
      </w:r>
      <w:r>
        <w:rPr>
          <w:highlight w:val="none"/>
        </w:rPr>
        <w:tab/>
      </w:r>
      <w:r>
        <w:rPr>
          <w:highlight w:val="none"/>
        </w:rPr>
        <w:t>日</w:t>
      </w:r>
      <w:r>
        <w:rPr>
          <w:spacing w:val="-3"/>
          <w:highlight w:val="none"/>
        </w:rPr>
        <w:t>内</w:t>
      </w:r>
      <w:r>
        <w:rPr>
          <w:highlight w:val="none"/>
        </w:rPr>
        <w:t>到</w:t>
      </w:r>
      <w:r>
        <w:rPr>
          <w:highlight w:val="none"/>
          <w:u w:val="single"/>
        </w:rPr>
        <w:t xml:space="preserve"> </w:t>
      </w:r>
      <w:r>
        <w:rPr>
          <w:highlight w:val="none"/>
          <w:u w:val="single"/>
        </w:rPr>
        <w:tab/>
      </w:r>
      <w:r>
        <w:rPr>
          <w:spacing w:val="-3"/>
          <w:highlight w:val="none"/>
        </w:rPr>
        <w:t>（</w:t>
      </w:r>
      <w:r>
        <w:rPr>
          <w:highlight w:val="none"/>
        </w:rPr>
        <w:t>指</w:t>
      </w:r>
      <w:r>
        <w:rPr>
          <w:spacing w:val="-3"/>
          <w:highlight w:val="none"/>
        </w:rPr>
        <w:t>定</w:t>
      </w:r>
      <w:r>
        <w:rPr>
          <w:highlight w:val="none"/>
        </w:rPr>
        <w:t>地点</w:t>
      </w:r>
      <w:r>
        <w:rPr>
          <w:spacing w:val="-41"/>
          <w:highlight w:val="none"/>
        </w:rPr>
        <w:t>）</w:t>
      </w:r>
      <w:r>
        <w:rPr>
          <w:highlight w:val="none"/>
        </w:rPr>
        <w:t>与我</w:t>
      </w:r>
      <w:r>
        <w:rPr>
          <w:spacing w:val="-3"/>
          <w:highlight w:val="none"/>
        </w:rPr>
        <w:t>方</w:t>
      </w:r>
      <w:r>
        <w:rPr>
          <w:highlight w:val="none"/>
        </w:rPr>
        <w:t>签</w:t>
      </w:r>
      <w:r>
        <w:rPr>
          <w:spacing w:val="-15"/>
          <w:highlight w:val="none"/>
        </w:rPr>
        <w:t>订</w:t>
      </w:r>
      <w:r>
        <w:rPr>
          <w:highlight w:val="none"/>
        </w:rPr>
        <w:t>材料</w:t>
      </w:r>
      <w:r>
        <w:rPr>
          <w:spacing w:val="-3"/>
          <w:highlight w:val="none"/>
        </w:rPr>
        <w:t>采</w:t>
      </w:r>
      <w:r>
        <w:rPr>
          <w:highlight w:val="none"/>
        </w:rPr>
        <w:t>购</w:t>
      </w:r>
      <w:r>
        <w:rPr>
          <w:spacing w:val="-3"/>
          <w:highlight w:val="none"/>
        </w:rPr>
        <w:t>合</w:t>
      </w:r>
      <w:r>
        <w:rPr>
          <w:highlight w:val="none"/>
        </w:rPr>
        <w:t>同</w:t>
      </w:r>
      <w:r>
        <w:rPr>
          <w:spacing w:val="-3"/>
          <w:highlight w:val="none"/>
        </w:rPr>
        <w:t>，</w:t>
      </w:r>
      <w:r>
        <w:rPr>
          <w:highlight w:val="none"/>
        </w:rPr>
        <w:t>并</w:t>
      </w:r>
      <w:r>
        <w:rPr>
          <w:spacing w:val="-3"/>
          <w:highlight w:val="none"/>
        </w:rPr>
        <w:t>按</w:t>
      </w:r>
      <w:r>
        <w:rPr>
          <w:highlight w:val="none"/>
        </w:rPr>
        <w:t>招</w:t>
      </w:r>
      <w:r>
        <w:rPr>
          <w:spacing w:val="-3"/>
          <w:highlight w:val="none"/>
        </w:rPr>
        <w:t>标</w:t>
      </w:r>
      <w:r>
        <w:rPr>
          <w:highlight w:val="none"/>
        </w:rPr>
        <w:t>文件</w:t>
      </w:r>
      <w:r>
        <w:rPr>
          <w:spacing w:val="-3"/>
          <w:highlight w:val="none"/>
        </w:rPr>
        <w:t>第</w:t>
      </w:r>
      <w:r>
        <w:rPr>
          <w:highlight w:val="none"/>
        </w:rPr>
        <w:t>二</w:t>
      </w:r>
      <w:r>
        <w:rPr>
          <w:spacing w:val="-3"/>
          <w:highlight w:val="none"/>
        </w:rPr>
        <w:t>章</w:t>
      </w:r>
      <w:r>
        <w:rPr>
          <w:rFonts w:ascii="Times New Roman" w:hAnsi="Times New Roman" w:eastAsia="Times New Roman"/>
          <w:i/>
          <w:highlight w:val="none"/>
        </w:rPr>
        <w:t>“</w:t>
      </w:r>
      <w:r>
        <w:rPr>
          <w:spacing w:val="-3"/>
          <w:highlight w:val="none"/>
        </w:rPr>
        <w:t>投</w:t>
      </w:r>
      <w:r>
        <w:rPr>
          <w:highlight w:val="none"/>
        </w:rPr>
        <w:t>标</w:t>
      </w:r>
      <w:r>
        <w:rPr>
          <w:spacing w:val="-3"/>
          <w:highlight w:val="none"/>
        </w:rPr>
        <w:t>人</w:t>
      </w:r>
      <w:r>
        <w:rPr>
          <w:highlight w:val="none"/>
        </w:rPr>
        <w:t>须知</w:t>
      </w:r>
      <w:r>
        <w:rPr>
          <w:rFonts w:ascii="Times New Roman" w:hAnsi="Times New Roman" w:eastAsia="Times New Roman"/>
          <w:i/>
          <w:spacing w:val="-3"/>
          <w:highlight w:val="none"/>
        </w:rPr>
        <w:t>”</w:t>
      </w:r>
      <w:r>
        <w:rPr>
          <w:highlight w:val="none"/>
        </w:rPr>
        <w:t>第</w:t>
      </w:r>
      <w:r>
        <w:rPr>
          <w:spacing w:val="-54"/>
          <w:highlight w:val="none"/>
        </w:rPr>
        <w:t xml:space="preserve"> </w:t>
      </w:r>
      <w:r>
        <w:rPr>
          <w:rFonts w:ascii="Times New Roman" w:hAnsi="Times New Roman" w:eastAsia="Times New Roman"/>
          <w:highlight w:val="none"/>
        </w:rPr>
        <w:t>7.6</w:t>
      </w:r>
      <w:r>
        <w:rPr>
          <w:rFonts w:ascii="Times New Roman" w:hAnsi="Times New Roman" w:eastAsia="Times New Roman"/>
          <w:spacing w:val="-3"/>
          <w:highlight w:val="none"/>
        </w:rPr>
        <w:t xml:space="preserve"> </w:t>
      </w:r>
      <w:r>
        <w:rPr>
          <w:highlight w:val="none"/>
        </w:rPr>
        <w:t>款</w:t>
      </w:r>
      <w:r>
        <w:rPr>
          <w:spacing w:val="-3"/>
          <w:highlight w:val="none"/>
        </w:rPr>
        <w:t>规</w:t>
      </w:r>
      <w:r>
        <w:rPr>
          <w:highlight w:val="none"/>
        </w:rPr>
        <w:t>定</w:t>
      </w:r>
      <w:r>
        <w:rPr>
          <w:spacing w:val="-3"/>
          <w:highlight w:val="none"/>
        </w:rPr>
        <w:t>向</w:t>
      </w:r>
      <w:r>
        <w:rPr>
          <w:highlight w:val="none"/>
        </w:rPr>
        <w:t>我</w:t>
      </w:r>
      <w:r>
        <w:rPr>
          <w:spacing w:val="-3"/>
          <w:highlight w:val="none"/>
        </w:rPr>
        <w:t>方</w:t>
      </w:r>
      <w:r>
        <w:rPr>
          <w:highlight w:val="none"/>
        </w:rPr>
        <w:t>提</w:t>
      </w:r>
      <w:r>
        <w:rPr>
          <w:spacing w:val="-3"/>
          <w:highlight w:val="none"/>
        </w:rPr>
        <w:t>交</w:t>
      </w:r>
      <w:r>
        <w:rPr>
          <w:highlight w:val="none"/>
        </w:rPr>
        <w:t>履约</w:t>
      </w:r>
      <w:r>
        <w:rPr>
          <w:spacing w:val="-3"/>
          <w:highlight w:val="none"/>
        </w:rPr>
        <w:t>保</w:t>
      </w:r>
      <w:r>
        <w:rPr>
          <w:highlight w:val="none"/>
        </w:rPr>
        <w:t>证金。</w:t>
      </w:r>
    </w:p>
    <w:p>
      <w:pPr>
        <w:pStyle w:val="11"/>
        <w:spacing w:before="1" w:line="480" w:lineRule="auto"/>
        <w:ind w:left="822"/>
        <w:rPr>
          <w:highlight w:val="none"/>
        </w:rPr>
      </w:pPr>
      <w:r>
        <w:rPr>
          <w:highlight w:val="none"/>
        </w:rPr>
        <w:t>特此通知。</w:t>
      </w:r>
    </w:p>
    <w:p>
      <w:pPr>
        <w:pStyle w:val="11"/>
        <w:rPr>
          <w:sz w:val="20"/>
          <w:highlight w:val="none"/>
        </w:rPr>
      </w:pPr>
    </w:p>
    <w:p>
      <w:pPr>
        <w:pStyle w:val="11"/>
        <w:rPr>
          <w:sz w:val="20"/>
          <w:highlight w:val="none"/>
        </w:rPr>
      </w:pPr>
    </w:p>
    <w:p>
      <w:pPr>
        <w:pStyle w:val="11"/>
        <w:tabs>
          <w:tab w:val="left" w:pos="7524"/>
        </w:tabs>
        <w:spacing w:before="179"/>
        <w:ind w:left="3638"/>
        <w:rPr>
          <w:highlight w:val="none"/>
        </w:rPr>
      </w:pPr>
      <w:r>
        <w:rPr>
          <w:highlight w:val="none"/>
        </w:rPr>
        <w:t>招标</w:t>
      </w:r>
      <w:r>
        <w:rPr>
          <w:spacing w:val="-3"/>
          <w:highlight w:val="none"/>
        </w:rPr>
        <w:t>人</w:t>
      </w:r>
      <w:r>
        <w:rPr>
          <w:highlight w:val="none"/>
        </w:rPr>
        <w:t>：</w:t>
      </w:r>
      <w:r>
        <w:rPr>
          <w:highlight w:val="none"/>
          <w:u w:val="single"/>
        </w:rPr>
        <w:t xml:space="preserve"> </w:t>
      </w:r>
      <w:r>
        <w:rPr>
          <w:highlight w:val="none"/>
          <w:u w:val="single"/>
        </w:rPr>
        <w:tab/>
      </w:r>
      <w:r>
        <w:rPr>
          <w:highlight w:val="none"/>
        </w:rPr>
        <w:t>（</w:t>
      </w:r>
      <w:r>
        <w:rPr>
          <w:spacing w:val="-3"/>
          <w:highlight w:val="none"/>
        </w:rPr>
        <w:t>盖</w:t>
      </w:r>
      <w:r>
        <w:rPr>
          <w:highlight w:val="none"/>
        </w:rPr>
        <w:t>单</w:t>
      </w:r>
      <w:r>
        <w:rPr>
          <w:spacing w:val="-3"/>
          <w:highlight w:val="none"/>
        </w:rPr>
        <w:t>位</w:t>
      </w:r>
      <w:r>
        <w:rPr>
          <w:highlight w:val="none"/>
        </w:rPr>
        <w:t>章）</w:t>
      </w:r>
    </w:p>
    <w:p>
      <w:pPr>
        <w:pStyle w:val="11"/>
        <w:rPr>
          <w:sz w:val="15"/>
          <w:highlight w:val="none"/>
        </w:rPr>
      </w:pPr>
    </w:p>
    <w:p>
      <w:pPr>
        <w:pStyle w:val="11"/>
        <w:tabs>
          <w:tab w:val="left" w:pos="7838"/>
        </w:tabs>
        <w:spacing w:before="79"/>
        <w:ind w:left="3638"/>
        <w:rPr>
          <w:highlight w:val="none"/>
        </w:rPr>
      </w:pPr>
      <w:r>
        <w:rPr>
          <w:highlight w:val="none"/>
        </w:rPr>
        <w:t>法定</w:t>
      </w:r>
      <w:r>
        <w:rPr>
          <w:spacing w:val="-3"/>
          <w:highlight w:val="none"/>
        </w:rPr>
        <w:t>代</w:t>
      </w:r>
      <w:r>
        <w:rPr>
          <w:highlight w:val="none"/>
        </w:rPr>
        <w:t>表</w:t>
      </w:r>
      <w:r>
        <w:rPr>
          <w:spacing w:val="-3"/>
          <w:highlight w:val="none"/>
        </w:rPr>
        <w:t>人</w:t>
      </w:r>
      <w:r>
        <w:rPr>
          <w:highlight w:val="none"/>
        </w:rPr>
        <w:t>（</w:t>
      </w:r>
      <w:r>
        <w:rPr>
          <w:spacing w:val="-3"/>
          <w:highlight w:val="none"/>
        </w:rPr>
        <w:t>单</w:t>
      </w:r>
      <w:r>
        <w:rPr>
          <w:highlight w:val="none"/>
        </w:rPr>
        <w:t>位</w:t>
      </w:r>
      <w:r>
        <w:rPr>
          <w:spacing w:val="-3"/>
          <w:highlight w:val="none"/>
        </w:rPr>
        <w:t>负</w:t>
      </w:r>
      <w:r>
        <w:rPr>
          <w:highlight w:val="none"/>
        </w:rPr>
        <w:t>责</w:t>
      </w:r>
      <w:r>
        <w:rPr>
          <w:spacing w:val="-3"/>
          <w:highlight w:val="none"/>
        </w:rPr>
        <w:t>人</w:t>
      </w:r>
      <w:r>
        <w:rPr>
          <w:spacing w:val="-108"/>
          <w:highlight w:val="none"/>
        </w:rPr>
        <w:t>：</w:t>
      </w:r>
      <w:r>
        <w:rPr>
          <w:spacing w:val="-1"/>
          <w:highlight w:val="none"/>
        </w:rPr>
        <w:t>）</w:t>
      </w:r>
      <w:r>
        <w:rPr>
          <w:rFonts w:ascii="Times New Roman" w:eastAsia="Times New Roman"/>
          <w:highlight w:val="none"/>
          <w:u w:val="single"/>
        </w:rPr>
        <w:t xml:space="preserve"> </w:t>
      </w:r>
      <w:r>
        <w:rPr>
          <w:rFonts w:ascii="Times New Roman" w:eastAsia="Times New Roman"/>
          <w:highlight w:val="none"/>
          <w:u w:val="single"/>
        </w:rPr>
        <w:tab/>
      </w:r>
      <w:r>
        <w:rPr>
          <w:highlight w:val="none"/>
        </w:rPr>
        <w:t>（</w:t>
      </w:r>
      <w:r>
        <w:rPr>
          <w:spacing w:val="-3"/>
          <w:highlight w:val="none"/>
        </w:rPr>
        <w:t>签字</w:t>
      </w:r>
      <w:r>
        <w:rPr>
          <w:highlight w:val="none"/>
        </w:rPr>
        <w:t>）</w:t>
      </w:r>
    </w:p>
    <w:p>
      <w:pPr>
        <w:pStyle w:val="11"/>
        <w:spacing w:before="7"/>
        <w:rPr>
          <w:sz w:val="15"/>
          <w:highlight w:val="none"/>
        </w:rPr>
      </w:pPr>
    </w:p>
    <w:p>
      <w:pPr>
        <w:pStyle w:val="11"/>
        <w:tabs>
          <w:tab w:val="left" w:pos="5971"/>
          <w:tab w:val="left" w:pos="6917"/>
          <w:tab w:val="left" w:pos="7860"/>
        </w:tabs>
        <w:spacing w:before="72"/>
        <w:ind w:left="5234"/>
        <w:rPr>
          <w:highlight w:val="none"/>
        </w:rPr>
      </w:pPr>
      <w:r>
        <w:rPr>
          <w:rFonts w:ascii="Times New Roman" w:eastAsia="Times New Roman"/>
          <w:highlight w:val="none"/>
          <w:u w:val="single"/>
        </w:rPr>
        <w:t xml:space="preserve"> </w:t>
      </w:r>
      <w:r>
        <w:rPr>
          <w:rFonts w:ascii="Times New Roman" w:eastAsia="Times New Roman"/>
          <w:highlight w:val="none"/>
          <w:u w:val="single"/>
        </w:rPr>
        <w:tab/>
      </w:r>
      <w:r>
        <w:rPr>
          <w:highlight w:val="none"/>
        </w:rPr>
        <w:t>年</w:t>
      </w:r>
      <w:r>
        <w:rPr>
          <w:highlight w:val="none"/>
          <w:u w:val="single"/>
        </w:rPr>
        <w:t xml:space="preserve"> </w:t>
      </w:r>
      <w:r>
        <w:rPr>
          <w:highlight w:val="none"/>
          <w:u w:val="single"/>
        </w:rPr>
        <w:tab/>
      </w:r>
      <w:r>
        <w:rPr>
          <w:spacing w:val="-3"/>
          <w:highlight w:val="none"/>
        </w:rPr>
        <w:t>月</w:t>
      </w:r>
      <w:r>
        <w:rPr>
          <w:spacing w:val="-3"/>
          <w:highlight w:val="none"/>
          <w:u w:val="single"/>
        </w:rPr>
        <w:t xml:space="preserve"> </w:t>
      </w:r>
      <w:r>
        <w:rPr>
          <w:spacing w:val="-3"/>
          <w:highlight w:val="none"/>
          <w:u w:val="single"/>
        </w:rPr>
        <w:tab/>
      </w:r>
      <w:r>
        <w:rPr>
          <w:highlight w:val="none"/>
        </w:rPr>
        <w:t>日</w:t>
      </w:r>
    </w:p>
    <w:p>
      <w:pPr>
        <w:rPr>
          <w:highlight w:val="none"/>
        </w:rPr>
        <w:sectPr>
          <w:pgSz w:w="12240" w:h="15840"/>
          <w:pgMar w:top="1400" w:right="1100" w:bottom="1120" w:left="1400" w:header="0" w:footer="841" w:gutter="0"/>
          <w:cols w:space="720" w:num="1"/>
        </w:sectPr>
      </w:pPr>
    </w:p>
    <w:p>
      <w:pPr>
        <w:pStyle w:val="11"/>
        <w:spacing w:before="12"/>
        <w:rPr>
          <w:sz w:val="18"/>
          <w:highlight w:val="none"/>
        </w:rPr>
      </w:pPr>
      <w:bookmarkStart w:id="151" w:name="_bookmark83"/>
      <w:bookmarkEnd w:id="151"/>
      <w:bookmarkStart w:id="152" w:name="_bookmark90"/>
      <w:bookmarkEnd w:id="152"/>
      <w:bookmarkStart w:id="153" w:name="_bookmark87"/>
      <w:bookmarkEnd w:id="153"/>
    </w:p>
    <w:p>
      <w:pPr>
        <w:pStyle w:val="3"/>
        <w:ind w:left="525"/>
        <w:rPr>
          <w:sz w:val="50"/>
          <w:highlight w:val="none"/>
        </w:rPr>
      </w:pPr>
      <w:bookmarkStart w:id="154" w:name="_bookmark92"/>
      <w:bookmarkEnd w:id="154"/>
      <w:bookmarkStart w:id="155" w:name="_Toc9355"/>
      <w:bookmarkStart w:id="156" w:name="_Toc29085"/>
      <w:r>
        <w:rPr>
          <w:rFonts w:hint="eastAsia" w:ascii="宋体" w:hAnsi="宋体" w:eastAsia="宋体" w:cs="宋体"/>
          <w:highlight w:val="none"/>
        </w:rPr>
        <w:t>第三章评标办法（经评审的最低投标价法）</w:t>
      </w:r>
      <w:bookmarkEnd w:id="155"/>
      <w:bookmarkEnd w:id="156"/>
    </w:p>
    <w:p>
      <w:pPr>
        <w:pStyle w:val="4"/>
        <w:ind w:left="400" w:firstLine="321" w:firstLineChars="100"/>
        <w:rPr>
          <w:highlight w:val="none"/>
        </w:rPr>
      </w:pPr>
      <w:bookmarkStart w:id="157" w:name="_bookmark93"/>
      <w:bookmarkEnd w:id="157"/>
      <w:bookmarkStart w:id="158" w:name="_Toc7269"/>
      <w:bookmarkStart w:id="159" w:name="_Toc28068"/>
      <w:r>
        <w:rPr>
          <w:rFonts w:hint="eastAsia" w:ascii="宋体" w:hAnsi="宋体" w:eastAsia="宋体" w:cs="宋体"/>
          <w:highlight w:val="none"/>
        </w:rPr>
        <w:t>评标办法前附表</w:t>
      </w:r>
      <w:bookmarkEnd w:id="158"/>
      <w:bookmarkEnd w:id="159"/>
    </w:p>
    <w:p>
      <w:pPr>
        <w:pStyle w:val="11"/>
        <w:spacing w:before="10"/>
        <w:rPr>
          <w:rFonts w:ascii="Microsoft JhengHei"/>
          <w:b/>
          <w:sz w:val="26"/>
          <w:highlight w:val="none"/>
        </w:rPr>
      </w:pPr>
    </w:p>
    <w:tbl>
      <w:tblPr>
        <w:tblStyle w:val="23"/>
        <w:tblW w:w="996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74"/>
        <w:gridCol w:w="1179"/>
        <w:gridCol w:w="2168"/>
        <w:gridCol w:w="574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0" w:hRule="atLeast"/>
        </w:trPr>
        <w:tc>
          <w:tcPr>
            <w:tcW w:w="2053" w:type="dxa"/>
            <w:gridSpan w:val="2"/>
            <w:vAlign w:val="center"/>
          </w:tcPr>
          <w:p>
            <w:pPr>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条款号</w:t>
            </w:r>
          </w:p>
        </w:tc>
        <w:tc>
          <w:tcPr>
            <w:tcW w:w="2168" w:type="dxa"/>
            <w:vAlign w:val="center"/>
          </w:tcPr>
          <w:p>
            <w:pPr>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评审因素</w:t>
            </w:r>
          </w:p>
        </w:tc>
        <w:tc>
          <w:tcPr>
            <w:tcW w:w="5745" w:type="dxa"/>
            <w:vAlign w:val="center"/>
          </w:tcPr>
          <w:p>
            <w:pPr>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评审标准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391" w:hRule="atLeast"/>
        </w:trPr>
        <w:tc>
          <w:tcPr>
            <w:tcW w:w="874" w:type="dxa"/>
            <w:vMerge w:val="restart"/>
            <w:vAlign w:val="center"/>
          </w:tcPr>
          <w:p>
            <w:pPr>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w:t>
            </w:r>
          </w:p>
        </w:tc>
        <w:tc>
          <w:tcPr>
            <w:tcW w:w="1179" w:type="dxa"/>
            <w:vMerge w:val="restart"/>
            <w:vAlign w:val="center"/>
          </w:tcPr>
          <w:p>
            <w:pPr>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评标方法</w:t>
            </w:r>
          </w:p>
        </w:tc>
        <w:tc>
          <w:tcPr>
            <w:tcW w:w="2168" w:type="dxa"/>
            <w:vAlign w:val="center"/>
          </w:tcPr>
          <w:p>
            <w:pPr>
              <w:jc w:val="center"/>
              <w:rPr>
                <w:rFonts w:asciiTheme="minorEastAsia" w:hAnsiTheme="minorEastAsia" w:eastAsiaTheme="minorEastAsia" w:cstheme="minorEastAsia"/>
                <w:b/>
                <w:sz w:val="21"/>
                <w:szCs w:val="21"/>
                <w:highlight w:val="none"/>
              </w:rPr>
            </w:pPr>
            <w:r>
              <w:rPr>
                <w:rFonts w:hint="eastAsia" w:asciiTheme="minorEastAsia" w:hAnsiTheme="minorEastAsia" w:eastAsiaTheme="minorEastAsia" w:cstheme="minorEastAsia"/>
                <w:b/>
                <w:sz w:val="21"/>
                <w:szCs w:val="21"/>
                <w:highlight w:val="none"/>
              </w:rPr>
              <w:t>中标候选人排序方法</w:t>
            </w:r>
          </w:p>
        </w:tc>
        <w:tc>
          <w:tcPr>
            <w:tcW w:w="5745" w:type="dxa"/>
            <w:vAlign w:val="center"/>
          </w:tcPr>
          <w:p>
            <w:pPr>
              <w:spacing w:line="360" w:lineRule="auto"/>
              <w:jc w:val="both"/>
              <w:rPr>
                <w:rFonts w:hint="eastAsia" w:asciiTheme="minorEastAsia" w:hAnsiTheme="minorEastAsia" w:eastAsiaTheme="minorEastAsia" w:cstheme="minorEastAsia"/>
                <w:b/>
                <w:sz w:val="21"/>
                <w:szCs w:val="21"/>
                <w:highlight w:val="none"/>
              </w:rPr>
            </w:pPr>
            <w:r>
              <w:rPr>
                <w:rFonts w:hint="eastAsia" w:asciiTheme="minorEastAsia" w:hAnsiTheme="minorEastAsia" w:eastAsiaTheme="minorEastAsia" w:cstheme="minorEastAsia"/>
                <w:b/>
                <w:sz w:val="21"/>
                <w:szCs w:val="21"/>
                <w:highlight w:val="none"/>
              </w:rPr>
              <w:t>评标委员会将按照经评审的投标价由低到高的顺序推荐中标候选人，推荐排序第一名的投标人为第一中标候选人，推荐排序第二、三名的投标人分别为第二、三中标候选人（若不足三名，只选取相应数量）。</w:t>
            </w:r>
          </w:p>
          <w:p>
            <w:pPr>
              <w:spacing w:line="360" w:lineRule="auto"/>
              <w:jc w:val="both"/>
              <w:rPr>
                <w:rFonts w:asciiTheme="minorEastAsia" w:hAnsiTheme="minorEastAsia" w:eastAsiaTheme="minorEastAsia" w:cstheme="minorEastAsia"/>
                <w:b/>
                <w:sz w:val="21"/>
                <w:szCs w:val="21"/>
                <w:highlight w:val="none"/>
              </w:rPr>
            </w:pPr>
            <w:r>
              <w:rPr>
                <w:rFonts w:hint="eastAsia" w:asciiTheme="minorEastAsia" w:hAnsiTheme="minorEastAsia" w:eastAsiaTheme="minorEastAsia" w:cstheme="minorEastAsia"/>
                <w:b/>
                <w:sz w:val="21"/>
                <w:szCs w:val="21"/>
                <w:highlight w:val="none"/>
              </w:rPr>
              <w:t>当报价相等时，以投标保证金先缴纳（以招标人打印的银行凭证到账时间为准）的优先；全部相同的，由评标委员会投票决定。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30" w:hRule="atLeast"/>
        </w:trPr>
        <w:tc>
          <w:tcPr>
            <w:tcW w:w="874" w:type="dxa"/>
            <w:vMerge w:val="continue"/>
            <w:vAlign w:val="center"/>
          </w:tcPr>
          <w:p>
            <w:pPr>
              <w:jc w:val="center"/>
              <w:rPr>
                <w:rFonts w:asciiTheme="minorEastAsia" w:hAnsiTheme="minorEastAsia" w:eastAsiaTheme="minorEastAsia" w:cstheme="minorEastAsia"/>
                <w:sz w:val="21"/>
                <w:szCs w:val="21"/>
                <w:highlight w:val="none"/>
              </w:rPr>
            </w:pPr>
          </w:p>
        </w:tc>
        <w:tc>
          <w:tcPr>
            <w:tcW w:w="1179" w:type="dxa"/>
            <w:vMerge w:val="continue"/>
            <w:vAlign w:val="center"/>
          </w:tcPr>
          <w:p>
            <w:pPr>
              <w:jc w:val="center"/>
              <w:rPr>
                <w:rFonts w:asciiTheme="minorEastAsia" w:hAnsiTheme="minorEastAsia" w:eastAsiaTheme="minorEastAsia" w:cstheme="minorEastAsia"/>
                <w:sz w:val="21"/>
                <w:szCs w:val="21"/>
                <w:highlight w:val="none"/>
              </w:rPr>
            </w:pPr>
          </w:p>
        </w:tc>
        <w:tc>
          <w:tcPr>
            <w:tcW w:w="2168" w:type="dxa"/>
            <w:vAlign w:val="center"/>
          </w:tcPr>
          <w:p>
            <w:pPr>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评标程序</w:t>
            </w:r>
          </w:p>
        </w:tc>
        <w:tc>
          <w:tcPr>
            <w:tcW w:w="5745" w:type="dxa"/>
            <w:vAlign w:val="center"/>
          </w:tcPr>
          <w:p>
            <w:pPr>
              <w:spacing w:line="360" w:lineRule="auto"/>
              <w:jc w:val="both"/>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第一个信封形式评审：见 2.1.1 款。</w:t>
            </w:r>
          </w:p>
          <w:p>
            <w:pPr>
              <w:spacing w:line="360" w:lineRule="auto"/>
              <w:jc w:val="both"/>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第一个信封资格评审：见 2.1.2 款。</w:t>
            </w:r>
          </w:p>
          <w:p>
            <w:pPr>
              <w:spacing w:line="360" w:lineRule="auto"/>
              <w:jc w:val="both"/>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第一个信封响应性评审：见 2.1.3 款。</w:t>
            </w:r>
          </w:p>
          <w:p>
            <w:pPr>
              <w:spacing w:line="360" w:lineRule="auto"/>
              <w:jc w:val="both"/>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第二个信封开标：对通过投标文件第一个信封（商务及技术文件）评审的投标文件第二个信封（报价文件）进行开标。</w:t>
            </w:r>
          </w:p>
          <w:p>
            <w:pPr>
              <w:spacing w:line="360" w:lineRule="auto"/>
              <w:jc w:val="both"/>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第二个信封形式评审：见 2.1.1 款。</w:t>
            </w:r>
          </w:p>
          <w:p>
            <w:pPr>
              <w:spacing w:line="360" w:lineRule="auto"/>
              <w:jc w:val="both"/>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第二个信封详细评审：见 2.2 款。</w:t>
            </w:r>
          </w:p>
          <w:p>
            <w:pPr>
              <w:spacing w:line="360" w:lineRule="auto"/>
              <w:jc w:val="both"/>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报价排序并推荐中标候选人。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0" w:hRule="atLeast"/>
        </w:trPr>
        <w:tc>
          <w:tcPr>
            <w:tcW w:w="874" w:type="dxa"/>
            <w:vMerge w:val="restart"/>
            <w:vAlign w:val="center"/>
          </w:tcPr>
          <w:p>
            <w:pPr>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2.1.1</w:t>
            </w:r>
          </w:p>
        </w:tc>
        <w:tc>
          <w:tcPr>
            <w:tcW w:w="1179" w:type="dxa"/>
            <w:vMerge w:val="restart"/>
            <w:vAlign w:val="center"/>
          </w:tcPr>
          <w:p>
            <w:pPr>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第一个 信封（商务及技 术文件）形式评审标准</w:t>
            </w:r>
          </w:p>
        </w:tc>
        <w:tc>
          <w:tcPr>
            <w:tcW w:w="2168" w:type="dxa"/>
            <w:vAlign w:val="center"/>
          </w:tcPr>
          <w:p>
            <w:pPr>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投标人名称</w:t>
            </w:r>
          </w:p>
        </w:tc>
        <w:tc>
          <w:tcPr>
            <w:tcW w:w="5745" w:type="dxa"/>
            <w:vAlign w:val="center"/>
          </w:tcPr>
          <w:p>
            <w:pPr>
              <w:jc w:val="both"/>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与营业执照一致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46" w:hRule="atLeast"/>
        </w:trPr>
        <w:tc>
          <w:tcPr>
            <w:tcW w:w="874" w:type="dxa"/>
            <w:vMerge w:val="continue"/>
            <w:vAlign w:val="center"/>
          </w:tcPr>
          <w:p>
            <w:pPr>
              <w:jc w:val="center"/>
              <w:rPr>
                <w:rFonts w:asciiTheme="minorEastAsia" w:hAnsiTheme="minorEastAsia" w:eastAsiaTheme="minorEastAsia" w:cstheme="minorEastAsia"/>
                <w:sz w:val="21"/>
                <w:szCs w:val="21"/>
                <w:highlight w:val="none"/>
              </w:rPr>
            </w:pPr>
          </w:p>
        </w:tc>
        <w:tc>
          <w:tcPr>
            <w:tcW w:w="1179" w:type="dxa"/>
            <w:vMerge w:val="continue"/>
            <w:vAlign w:val="center"/>
          </w:tcPr>
          <w:p>
            <w:pPr>
              <w:jc w:val="center"/>
              <w:rPr>
                <w:rFonts w:asciiTheme="minorEastAsia" w:hAnsiTheme="minorEastAsia" w:eastAsiaTheme="minorEastAsia" w:cstheme="minorEastAsia"/>
                <w:sz w:val="21"/>
                <w:szCs w:val="21"/>
                <w:highlight w:val="none"/>
              </w:rPr>
            </w:pPr>
          </w:p>
        </w:tc>
        <w:tc>
          <w:tcPr>
            <w:tcW w:w="2168" w:type="dxa"/>
            <w:vAlign w:val="center"/>
          </w:tcPr>
          <w:p>
            <w:pPr>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投标函签字盖章</w:t>
            </w:r>
          </w:p>
        </w:tc>
        <w:tc>
          <w:tcPr>
            <w:tcW w:w="5745" w:type="dxa"/>
            <w:vAlign w:val="center"/>
          </w:tcPr>
          <w:p>
            <w:pPr>
              <w:jc w:val="both"/>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由法定代表人或其委托代理人签字并加盖单位公章。由法定代表人签字的，应附法定代表人身份证明；由委托代理人签字的，应附授权委托书、法定代表人及委托代理人身份证明。授权委托书应符合第</w:t>
            </w:r>
            <w:r>
              <w:rPr>
                <w:rFonts w:hint="eastAsia" w:asciiTheme="minorEastAsia" w:hAnsiTheme="minorEastAsia" w:eastAsiaTheme="minorEastAsia" w:cstheme="minorEastAsia"/>
                <w:sz w:val="21"/>
                <w:szCs w:val="21"/>
                <w:highlight w:val="none"/>
                <w:lang w:val="en-US"/>
              </w:rPr>
              <w:t>六</w:t>
            </w:r>
            <w:r>
              <w:rPr>
                <w:rFonts w:hint="eastAsia" w:asciiTheme="minorEastAsia" w:hAnsiTheme="minorEastAsia" w:eastAsiaTheme="minorEastAsia" w:cstheme="minorEastAsia"/>
                <w:sz w:val="21"/>
                <w:szCs w:val="21"/>
                <w:highlight w:val="none"/>
              </w:rPr>
              <w:t>章“投标文件格式”的规定。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36" w:hRule="atLeast"/>
        </w:trPr>
        <w:tc>
          <w:tcPr>
            <w:tcW w:w="874" w:type="dxa"/>
            <w:vMerge w:val="continue"/>
            <w:vAlign w:val="center"/>
          </w:tcPr>
          <w:p>
            <w:pPr>
              <w:jc w:val="center"/>
              <w:rPr>
                <w:rFonts w:asciiTheme="minorEastAsia" w:hAnsiTheme="minorEastAsia" w:eastAsiaTheme="minorEastAsia" w:cstheme="minorEastAsia"/>
                <w:sz w:val="21"/>
                <w:szCs w:val="21"/>
                <w:highlight w:val="none"/>
              </w:rPr>
            </w:pPr>
          </w:p>
        </w:tc>
        <w:tc>
          <w:tcPr>
            <w:tcW w:w="1179" w:type="dxa"/>
            <w:vMerge w:val="continue"/>
            <w:vAlign w:val="center"/>
          </w:tcPr>
          <w:p>
            <w:pPr>
              <w:jc w:val="center"/>
              <w:rPr>
                <w:rFonts w:asciiTheme="minorEastAsia" w:hAnsiTheme="minorEastAsia" w:eastAsiaTheme="minorEastAsia" w:cstheme="minorEastAsia"/>
                <w:sz w:val="21"/>
                <w:szCs w:val="21"/>
                <w:highlight w:val="none"/>
              </w:rPr>
            </w:pPr>
          </w:p>
        </w:tc>
        <w:tc>
          <w:tcPr>
            <w:tcW w:w="2168" w:type="dxa"/>
            <w:vAlign w:val="center"/>
          </w:tcPr>
          <w:p>
            <w:pPr>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投标文件格式</w:t>
            </w:r>
          </w:p>
        </w:tc>
        <w:tc>
          <w:tcPr>
            <w:tcW w:w="5745" w:type="dxa"/>
            <w:vAlign w:val="center"/>
          </w:tcPr>
          <w:p>
            <w:pPr>
              <w:jc w:val="both"/>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符合第</w:t>
            </w:r>
            <w:r>
              <w:rPr>
                <w:rFonts w:hint="eastAsia" w:asciiTheme="minorEastAsia" w:hAnsiTheme="minorEastAsia" w:eastAsiaTheme="minorEastAsia" w:cstheme="minorEastAsia"/>
                <w:sz w:val="21"/>
                <w:szCs w:val="21"/>
                <w:highlight w:val="none"/>
                <w:lang w:val="en-US"/>
              </w:rPr>
              <w:t>六</w:t>
            </w:r>
            <w:r>
              <w:rPr>
                <w:rFonts w:hint="eastAsia" w:asciiTheme="minorEastAsia" w:hAnsiTheme="minorEastAsia" w:eastAsiaTheme="minorEastAsia" w:cstheme="minorEastAsia"/>
                <w:sz w:val="21"/>
                <w:szCs w:val="21"/>
                <w:highlight w:val="none"/>
              </w:rPr>
              <w:t>章“投标文件格式”的规定。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1" w:hRule="atLeast"/>
        </w:trPr>
        <w:tc>
          <w:tcPr>
            <w:tcW w:w="874" w:type="dxa"/>
            <w:vMerge w:val="continue"/>
            <w:vAlign w:val="center"/>
          </w:tcPr>
          <w:p>
            <w:pPr>
              <w:jc w:val="center"/>
              <w:rPr>
                <w:rFonts w:asciiTheme="minorEastAsia" w:hAnsiTheme="minorEastAsia" w:eastAsiaTheme="minorEastAsia" w:cstheme="minorEastAsia"/>
                <w:sz w:val="21"/>
                <w:szCs w:val="21"/>
                <w:highlight w:val="none"/>
              </w:rPr>
            </w:pPr>
          </w:p>
        </w:tc>
        <w:tc>
          <w:tcPr>
            <w:tcW w:w="1179" w:type="dxa"/>
            <w:vMerge w:val="continue"/>
            <w:vAlign w:val="center"/>
          </w:tcPr>
          <w:p>
            <w:pPr>
              <w:jc w:val="center"/>
              <w:rPr>
                <w:rFonts w:asciiTheme="minorEastAsia" w:hAnsiTheme="minorEastAsia" w:eastAsiaTheme="minorEastAsia" w:cstheme="minorEastAsia"/>
                <w:sz w:val="21"/>
                <w:szCs w:val="21"/>
                <w:highlight w:val="none"/>
              </w:rPr>
            </w:pPr>
          </w:p>
        </w:tc>
        <w:tc>
          <w:tcPr>
            <w:tcW w:w="2168" w:type="dxa"/>
            <w:vAlign w:val="center"/>
          </w:tcPr>
          <w:p>
            <w:pPr>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联合体投标人</w:t>
            </w:r>
          </w:p>
        </w:tc>
        <w:tc>
          <w:tcPr>
            <w:tcW w:w="5745" w:type="dxa"/>
            <w:vAlign w:val="center"/>
          </w:tcPr>
          <w:p>
            <w:pPr>
              <w:jc w:val="both"/>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投标人未以联合体形式参与本项目投标。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98" w:hRule="atLeast"/>
        </w:trPr>
        <w:tc>
          <w:tcPr>
            <w:tcW w:w="874" w:type="dxa"/>
            <w:vMerge w:val="continue"/>
            <w:vAlign w:val="center"/>
          </w:tcPr>
          <w:p>
            <w:pPr>
              <w:jc w:val="center"/>
              <w:rPr>
                <w:rFonts w:asciiTheme="minorEastAsia" w:hAnsiTheme="minorEastAsia" w:eastAsiaTheme="minorEastAsia" w:cstheme="minorEastAsia"/>
                <w:sz w:val="21"/>
                <w:szCs w:val="21"/>
                <w:highlight w:val="none"/>
              </w:rPr>
            </w:pPr>
          </w:p>
        </w:tc>
        <w:tc>
          <w:tcPr>
            <w:tcW w:w="1179" w:type="dxa"/>
            <w:vMerge w:val="continue"/>
            <w:vAlign w:val="center"/>
          </w:tcPr>
          <w:p>
            <w:pPr>
              <w:jc w:val="center"/>
              <w:rPr>
                <w:rFonts w:asciiTheme="minorEastAsia" w:hAnsiTheme="minorEastAsia" w:eastAsiaTheme="minorEastAsia" w:cstheme="minorEastAsia"/>
                <w:sz w:val="21"/>
                <w:szCs w:val="21"/>
                <w:highlight w:val="none"/>
              </w:rPr>
            </w:pPr>
          </w:p>
        </w:tc>
        <w:tc>
          <w:tcPr>
            <w:tcW w:w="2168" w:type="dxa"/>
            <w:vAlign w:val="center"/>
          </w:tcPr>
          <w:p>
            <w:pPr>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备选投标方案</w:t>
            </w:r>
          </w:p>
        </w:tc>
        <w:tc>
          <w:tcPr>
            <w:tcW w:w="5745" w:type="dxa"/>
            <w:vAlign w:val="center"/>
          </w:tcPr>
          <w:p>
            <w:pPr>
              <w:jc w:val="both"/>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除招标文件明确允许提交备选投标方案外，投标人不得提交备选投标方案。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27" w:hRule="atLeast"/>
        </w:trPr>
        <w:tc>
          <w:tcPr>
            <w:tcW w:w="874" w:type="dxa"/>
            <w:vMerge w:val="continue"/>
            <w:vAlign w:val="center"/>
          </w:tcPr>
          <w:p>
            <w:pPr>
              <w:jc w:val="center"/>
              <w:rPr>
                <w:rFonts w:asciiTheme="minorEastAsia" w:hAnsiTheme="minorEastAsia" w:eastAsiaTheme="minorEastAsia" w:cstheme="minorEastAsia"/>
                <w:sz w:val="21"/>
                <w:szCs w:val="21"/>
                <w:highlight w:val="none"/>
              </w:rPr>
            </w:pPr>
          </w:p>
        </w:tc>
        <w:tc>
          <w:tcPr>
            <w:tcW w:w="1179" w:type="dxa"/>
            <w:vMerge w:val="continue"/>
            <w:vAlign w:val="center"/>
          </w:tcPr>
          <w:p>
            <w:pPr>
              <w:jc w:val="center"/>
              <w:rPr>
                <w:rFonts w:asciiTheme="minorEastAsia" w:hAnsiTheme="minorEastAsia" w:eastAsiaTheme="minorEastAsia" w:cstheme="minorEastAsia"/>
                <w:sz w:val="21"/>
                <w:szCs w:val="21"/>
                <w:highlight w:val="none"/>
              </w:rPr>
            </w:pPr>
          </w:p>
        </w:tc>
        <w:tc>
          <w:tcPr>
            <w:tcW w:w="2168" w:type="dxa"/>
            <w:vAlign w:val="center"/>
          </w:tcPr>
          <w:p>
            <w:pPr>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投标文件正本中法定代表人或其授权代理人签署</w:t>
            </w:r>
          </w:p>
        </w:tc>
        <w:tc>
          <w:tcPr>
            <w:tcW w:w="5745" w:type="dxa"/>
            <w:vAlign w:val="center"/>
          </w:tcPr>
          <w:p>
            <w:pPr>
              <w:jc w:val="both"/>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投标文件由投标人的法定代表人或其委托代理人签署姓名（招标文件中投标文件格式指定要求签署位置处须进行签署，不得使用签名章或其它电子制版签名代替），并加盖投标人单位公章（招标文件中投标文件格式指定要求盖章位置处须进行盖单位公章，不得使用单位其他专用章代替）。</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27" w:hRule="atLeast"/>
        </w:trPr>
        <w:tc>
          <w:tcPr>
            <w:tcW w:w="874" w:type="dxa"/>
            <w:vMerge w:val="continue"/>
            <w:vAlign w:val="center"/>
          </w:tcPr>
          <w:p>
            <w:pPr>
              <w:jc w:val="center"/>
              <w:rPr>
                <w:rFonts w:asciiTheme="minorEastAsia" w:hAnsiTheme="minorEastAsia" w:eastAsiaTheme="minorEastAsia" w:cstheme="minorEastAsia"/>
                <w:sz w:val="21"/>
                <w:szCs w:val="21"/>
                <w:highlight w:val="none"/>
              </w:rPr>
            </w:pPr>
          </w:p>
        </w:tc>
        <w:tc>
          <w:tcPr>
            <w:tcW w:w="1179" w:type="dxa"/>
            <w:vMerge w:val="continue"/>
            <w:vAlign w:val="center"/>
          </w:tcPr>
          <w:p>
            <w:pPr>
              <w:jc w:val="center"/>
              <w:rPr>
                <w:rFonts w:asciiTheme="minorEastAsia" w:hAnsiTheme="minorEastAsia" w:eastAsiaTheme="minorEastAsia" w:cstheme="minorEastAsia"/>
                <w:sz w:val="21"/>
                <w:szCs w:val="21"/>
                <w:highlight w:val="none"/>
              </w:rPr>
            </w:pPr>
          </w:p>
        </w:tc>
        <w:tc>
          <w:tcPr>
            <w:tcW w:w="2168" w:type="dxa"/>
            <w:vAlign w:val="center"/>
          </w:tcPr>
          <w:p>
            <w:pPr>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其它</w:t>
            </w:r>
          </w:p>
        </w:tc>
        <w:tc>
          <w:tcPr>
            <w:tcW w:w="5745" w:type="dxa"/>
            <w:vAlign w:val="center"/>
          </w:tcPr>
          <w:p>
            <w:pPr>
              <w:jc w:val="both"/>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投标单位负责人为同一人或者存在控股、管理关系的不同单位，不得同时参加投标，否则相关投标均无效。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6" w:hRule="atLeast"/>
        </w:trPr>
        <w:tc>
          <w:tcPr>
            <w:tcW w:w="874" w:type="dxa"/>
            <w:vMerge w:val="restart"/>
            <w:vAlign w:val="center"/>
          </w:tcPr>
          <w:p>
            <w:pPr>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2.1.1（续）</w:t>
            </w:r>
          </w:p>
        </w:tc>
        <w:tc>
          <w:tcPr>
            <w:tcW w:w="1179" w:type="dxa"/>
            <w:vMerge w:val="restart"/>
            <w:vAlign w:val="center"/>
          </w:tcPr>
          <w:p>
            <w:pPr>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第二个信封（报价文件）形式评审标准</w:t>
            </w:r>
          </w:p>
        </w:tc>
        <w:tc>
          <w:tcPr>
            <w:tcW w:w="2168" w:type="dxa"/>
            <w:vAlign w:val="center"/>
          </w:tcPr>
          <w:p>
            <w:pPr>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投标文件格式</w:t>
            </w:r>
          </w:p>
        </w:tc>
        <w:tc>
          <w:tcPr>
            <w:tcW w:w="5745" w:type="dxa"/>
            <w:vAlign w:val="center"/>
          </w:tcPr>
          <w:p>
            <w:pPr>
              <w:jc w:val="both"/>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符合第</w:t>
            </w:r>
            <w:r>
              <w:rPr>
                <w:rFonts w:hint="eastAsia" w:asciiTheme="minorEastAsia" w:hAnsiTheme="minorEastAsia" w:eastAsiaTheme="minorEastAsia" w:cstheme="minorEastAsia"/>
                <w:sz w:val="21"/>
                <w:szCs w:val="21"/>
                <w:highlight w:val="none"/>
                <w:lang w:val="en-US"/>
              </w:rPr>
              <w:t>六</w:t>
            </w:r>
            <w:r>
              <w:rPr>
                <w:rFonts w:hint="eastAsia" w:asciiTheme="minorEastAsia" w:hAnsiTheme="minorEastAsia" w:eastAsiaTheme="minorEastAsia" w:cstheme="minorEastAsia"/>
                <w:sz w:val="21"/>
                <w:szCs w:val="21"/>
                <w:highlight w:val="none"/>
              </w:rPr>
              <w:t>章“投标文件格式”中“报价文件”的规定。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45" w:hRule="atLeast"/>
        </w:trPr>
        <w:tc>
          <w:tcPr>
            <w:tcW w:w="874" w:type="dxa"/>
            <w:vMerge w:val="continue"/>
            <w:vAlign w:val="center"/>
          </w:tcPr>
          <w:p>
            <w:pPr>
              <w:jc w:val="center"/>
              <w:rPr>
                <w:rFonts w:asciiTheme="minorEastAsia" w:hAnsiTheme="minorEastAsia" w:eastAsiaTheme="minorEastAsia" w:cstheme="minorEastAsia"/>
                <w:sz w:val="21"/>
                <w:szCs w:val="21"/>
                <w:highlight w:val="none"/>
              </w:rPr>
            </w:pPr>
          </w:p>
        </w:tc>
        <w:tc>
          <w:tcPr>
            <w:tcW w:w="1179" w:type="dxa"/>
            <w:vMerge w:val="continue"/>
            <w:vAlign w:val="center"/>
          </w:tcPr>
          <w:p>
            <w:pPr>
              <w:jc w:val="center"/>
              <w:rPr>
                <w:rFonts w:asciiTheme="minorEastAsia" w:hAnsiTheme="minorEastAsia" w:eastAsiaTheme="minorEastAsia" w:cstheme="minorEastAsia"/>
                <w:sz w:val="21"/>
                <w:szCs w:val="21"/>
                <w:highlight w:val="none"/>
              </w:rPr>
            </w:pPr>
          </w:p>
        </w:tc>
        <w:tc>
          <w:tcPr>
            <w:tcW w:w="2168" w:type="dxa"/>
            <w:vAlign w:val="center"/>
          </w:tcPr>
          <w:p>
            <w:pPr>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投标文件正本中法定代表人或其授权代理人签署</w:t>
            </w:r>
          </w:p>
        </w:tc>
        <w:tc>
          <w:tcPr>
            <w:tcW w:w="5745" w:type="dxa"/>
            <w:vAlign w:val="center"/>
          </w:tcPr>
          <w:p>
            <w:pPr>
              <w:jc w:val="both"/>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投标文件由投标人的法定代表人或其委托代理人签署姓名（招标文件中投标文件格式指定要求签署位置处须进行签署，不得使用签名章或其它电子制版签名代替），并加盖投标人单位公章（招标文件中投标文件格式指定要求盖章位置处须进行盖单位公章，不得使用单位其他专用章代替）。</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0" w:hRule="atLeast"/>
        </w:trPr>
        <w:tc>
          <w:tcPr>
            <w:tcW w:w="874" w:type="dxa"/>
            <w:vMerge w:val="continue"/>
            <w:vAlign w:val="center"/>
          </w:tcPr>
          <w:p>
            <w:pPr>
              <w:jc w:val="center"/>
              <w:rPr>
                <w:rFonts w:asciiTheme="minorEastAsia" w:hAnsiTheme="minorEastAsia" w:eastAsiaTheme="minorEastAsia" w:cstheme="minorEastAsia"/>
                <w:sz w:val="21"/>
                <w:szCs w:val="21"/>
                <w:highlight w:val="none"/>
              </w:rPr>
            </w:pPr>
          </w:p>
        </w:tc>
        <w:tc>
          <w:tcPr>
            <w:tcW w:w="1179" w:type="dxa"/>
            <w:vMerge w:val="continue"/>
            <w:vAlign w:val="center"/>
          </w:tcPr>
          <w:p>
            <w:pPr>
              <w:jc w:val="center"/>
              <w:rPr>
                <w:rFonts w:asciiTheme="minorEastAsia" w:hAnsiTheme="minorEastAsia" w:eastAsiaTheme="minorEastAsia" w:cstheme="minorEastAsia"/>
                <w:sz w:val="21"/>
                <w:szCs w:val="21"/>
                <w:highlight w:val="none"/>
              </w:rPr>
            </w:pPr>
          </w:p>
        </w:tc>
        <w:tc>
          <w:tcPr>
            <w:tcW w:w="2168" w:type="dxa"/>
            <w:vAlign w:val="center"/>
          </w:tcPr>
          <w:p>
            <w:pPr>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投标报价</w:t>
            </w:r>
          </w:p>
        </w:tc>
        <w:tc>
          <w:tcPr>
            <w:tcW w:w="5745" w:type="dxa"/>
            <w:vAlign w:val="center"/>
          </w:tcPr>
          <w:p>
            <w:pPr>
              <w:jc w:val="both"/>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符合第二章“投标人须知”第 3.2.5 款规定。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0" w:hRule="atLeast"/>
        </w:trPr>
        <w:tc>
          <w:tcPr>
            <w:tcW w:w="874" w:type="dxa"/>
            <w:vMerge w:val="restart"/>
            <w:vAlign w:val="center"/>
          </w:tcPr>
          <w:p>
            <w:pPr>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2.1.2</w:t>
            </w:r>
          </w:p>
        </w:tc>
        <w:tc>
          <w:tcPr>
            <w:tcW w:w="1179" w:type="dxa"/>
            <w:vMerge w:val="restart"/>
            <w:vAlign w:val="center"/>
          </w:tcPr>
          <w:p>
            <w:pPr>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资格评审标准</w:t>
            </w:r>
          </w:p>
        </w:tc>
        <w:tc>
          <w:tcPr>
            <w:tcW w:w="2168" w:type="dxa"/>
            <w:vAlign w:val="center"/>
          </w:tcPr>
          <w:p>
            <w:pPr>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营业执照</w:t>
            </w:r>
          </w:p>
        </w:tc>
        <w:tc>
          <w:tcPr>
            <w:tcW w:w="5745" w:type="dxa"/>
            <w:vAlign w:val="center"/>
          </w:tcPr>
          <w:p>
            <w:pPr>
              <w:jc w:val="both"/>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具备有效的营业执照。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0" w:hRule="atLeast"/>
        </w:trPr>
        <w:tc>
          <w:tcPr>
            <w:tcW w:w="874" w:type="dxa"/>
            <w:vMerge w:val="continue"/>
            <w:vAlign w:val="center"/>
          </w:tcPr>
          <w:p>
            <w:pPr>
              <w:jc w:val="center"/>
              <w:rPr>
                <w:rFonts w:asciiTheme="minorEastAsia" w:hAnsiTheme="minorEastAsia" w:eastAsiaTheme="minorEastAsia" w:cstheme="minorEastAsia"/>
                <w:sz w:val="21"/>
                <w:szCs w:val="21"/>
                <w:highlight w:val="none"/>
              </w:rPr>
            </w:pPr>
          </w:p>
        </w:tc>
        <w:tc>
          <w:tcPr>
            <w:tcW w:w="1179" w:type="dxa"/>
            <w:vMerge w:val="continue"/>
            <w:vAlign w:val="center"/>
          </w:tcPr>
          <w:p>
            <w:pPr>
              <w:jc w:val="center"/>
              <w:rPr>
                <w:rFonts w:asciiTheme="minorEastAsia" w:hAnsiTheme="minorEastAsia" w:eastAsiaTheme="minorEastAsia" w:cstheme="minorEastAsia"/>
                <w:sz w:val="21"/>
                <w:szCs w:val="21"/>
                <w:highlight w:val="none"/>
              </w:rPr>
            </w:pPr>
          </w:p>
        </w:tc>
        <w:tc>
          <w:tcPr>
            <w:tcW w:w="2168" w:type="dxa"/>
            <w:vAlign w:val="center"/>
          </w:tcPr>
          <w:p>
            <w:pPr>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资格要求</w:t>
            </w:r>
          </w:p>
        </w:tc>
        <w:tc>
          <w:tcPr>
            <w:tcW w:w="5745" w:type="dxa"/>
            <w:vAlign w:val="center"/>
          </w:tcPr>
          <w:p>
            <w:pPr>
              <w:jc w:val="both"/>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符合第二章“投标人须知”第 1.4.1 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0" w:hRule="atLeast"/>
        </w:trPr>
        <w:tc>
          <w:tcPr>
            <w:tcW w:w="874" w:type="dxa"/>
            <w:vMerge w:val="continue"/>
            <w:vAlign w:val="center"/>
          </w:tcPr>
          <w:p>
            <w:pPr>
              <w:jc w:val="center"/>
              <w:rPr>
                <w:rFonts w:asciiTheme="minorEastAsia" w:hAnsiTheme="minorEastAsia" w:eastAsiaTheme="minorEastAsia" w:cstheme="minorEastAsia"/>
                <w:sz w:val="21"/>
                <w:szCs w:val="21"/>
                <w:highlight w:val="none"/>
              </w:rPr>
            </w:pPr>
          </w:p>
        </w:tc>
        <w:tc>
          <w:tcPr>
            <w:tcW w:w="1179" w:type="dxa"/>
            <w:vMerge w:val="continue"/>
            <w:vAlign w:val="center"/>
          </w:tcPr>
          <w:p>
            <w:pPr>
              <w:jc w:val="center"/>
              <w:rPr>
                <w:rFonts w:asciiTheme="minorEastAsia" w:hAnsiTheme="minorEastAsia" w:eastAsiaTheme="minorEastAsia" w:cstheme="minorEastAsia"/>
                <w:sz w:val="21"/>
                <w:szCs w:val="21"/>
                <w:highlight w:val="none"/>
              </w:rPr>
            </w:pPr>
          </w:p>
        </w:tc>
        <w:tc>
          <w:tcPr>
            <w:tcW w:w="2168" w:type="dxa"/>
            <w:vAlign w:val="center"/>
          </w:tcPr>
          <w:p>
            <w:pPr>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财务要求</w:t>
            </w:r>
          </w:p>
        </w:tc>
        <w:tc>
          <w:tcPr>
            <w:tcW w:w="5745" w:type="dxa"/>
            <w:vAlign w:val="center"/>
          </w:tcPr>
          <w:p>
            <w:pPr>
              <w:jc w:val="both"/>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符合第二章“投标人须知”第 1.4.1 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12" w:hRule="atLeast"/>
        </w:trPr>
        <w:tc>
          <w:tcPr>
            <w:tcW w:w="874" w:type="dxa"/>
            <w:vMerge w:val="continue"/>
            <w:vAlign w:val="center"/>
          </w:tcPr>
          <w:p>
            <w:pPr>
              <w:jc w:val="center"/>
              <w:rPr>
                <w:rFonts w:asciiTheme="minorEastAsia" w:hAnsiTheme="minorEastAsia" w:eastAsiaTheme="minorEastAsia" w:cstheme="minorEastAsia"/>
                <w:sz w:val="21"/>
                <w:szCs w:val="21"/>
                <w:highlight w:val="none"/>
              </w:rPr>
            </w:pPr>
          </w:p>
        </w:tc>
        <w:tc>
          <w:tcPr>
            <w:tcW w:w="1179" w:type="dxa"/>
            <w:vMerge w:val="continue"/>
            <w:vAlign w:val="center"/>
          </w:tcPr>
          <w:p>
            <w:pPr>
              <w:jc w:val="center"/>
              <w:rPr>
                <w:rFonts w:asciiTheme="minorEastAsia" w:hAnsiTheme="minorEastAsia" w:eastAsiaTheme="minorEastAsia" w:cstheme="minorEastAsia"/>
                <w:sz w:val="21"/>
                <w:szCs w:val="21"/>
                <w:highlight w:val="none"/>
              </w:rPr>
            </w:pPr>
          </w:p>
        </w:tc>
        <w:tc>
          <w:tcPr>
            <w:tcW w:w="2168" w:type="dxa"/>
            <w:vAlign w:val="center"/>
          </w:tcPr>
          <w:p>
            <w:pPr>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不存在禁止投标的情形</w:t>
            </w:r>
          </w:p>
        </w:tc>
        <w:tc>
          <w:tcPr>
            <w:tcW w:w="5745" w:type="dxa"/>
            <w:vAlign w:val="center"/>
          </w:tcPr>
          <w:p>
            <w:pPr>
              <w:jc w:val="both"/>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不存在第二章“投标人须知”第 1.4.3 项规定的任何一种情形。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0" w:hRule="atLeast"/>
        </w:trPr>
        <w:tc>
          <w:tcPr>
            <w:tcW w:w="874" w:type="dxa"/>
            <w:vMerge w:val="restart"/>
            <w:vAlign w:val="center"/>
          </w:tcPr>
          <w:p>
            <w:pPr>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2.1.3</w:t>
            </w:r>
          </w:p>
        </w:tc>
        <w:tc>
          <w:tcPr>
            <w:tcW w:w="1179" w:type="dxa"/>
            <w:vMerge w:val="restart"/>
            <w:vAlign w:val="center"/>
          </w:tcPr>
          <w:p>
            <w:pPr>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第一个信封（商务及技术文件）响应性评审标准</w:t>
            </w:r>
          </w:p>
        </w:tc>
        <w:tc>
          <w:tcPr>
            <w:tcW w:w="2168" w:type="dxa"/>
            <w:vAlign w:val="center"/>
          </w:tcPr>
          <w:p>
            <w:pPr>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投标内容</w:t>
            </w:r>
          </w:p>
        </w:tc>
        <w:tc>
          <w:tcPr>
            <w:tcW w:w="5745" w:type="dxa"/>
            <w:vAlign w:val="center"/>
          </w:tcPr>
          <w:p>
            <w:pPr>
              <w:jc w:val="both"/>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符合第二章“投标人须知”第 1.3.1 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72" w:hRule="atLeast"/>
        </w:trPr>
        <w:tc>
          <w:tcPr>
            <w:tcW w:w="874" w:type="dxa"/>
            <w:vMerge w:val="continue"/>
            <w:vAlign w:val="center"/>
          </w:tcPr>
          <w:p>
            <w:pPr>
              <w:jc w:val="center"/>
              <w:rPr>
                <w:rFonts w:asciiTheme="minorEastAsia" w:hAnsiTheme="minorEastAsia" w:eastAsiaTheme="minorEastAsia" w:cstheme="minorEastAsia"/>
                <w:sz w:val="21"/>
                <w:szCs w:val="21"/>
                <w:highlight w:val="none"/>
              </w:rPr>
            </w:pPr>
          </w:p>
        </w:tc>
        <w:tc>
          <w:tcPr>
            <w:tcW w:w="1179" w:type="dxa"/>
            <w:vMerge w:val="continue"/>
            <w:vAlign w:val="center"/>
          </w:tcPr>
          <w:p>
            <w:pPr>
              <w:jc w:val="center"/>
              <w:rPr>
                <w:rFonts w:asciiTheme="minorEastAsia" w:hAnsiTheme="minorEastAsia" w:eastAsiaTheme="minorEastAsia" w:cstheme="minorEastAsia"/>
                <w:sz w:val="21"/>
                <w:szCs w:val="21"/>
                <w:highlight w:val="none"/>
              </w:rPr>
            </w:pPr>
          </w:p>
        </w:tc>
        <w:tc>
          <w:tcPr>
            <w:tcW w:w="2168" w:type="dxa"/>
            <w:vAlign w:val="center"/>
          </w:tcPr>
          <w:p>
            <w:pPr>
              <w:jc w:val="center"/>
              <w:rPr>
                <w:rFonts w:asciiTheme="minorEastAsia" w:hAnsiTheme="minorEastAsia" w:eastAsiaTheme="minorEastAsia" w:cstheme="minorEastAsia"/>
                <w:sz w:val="21"/>
                <w:szCs w:val="21"/>
                <w:highlight w:val="none"/>
              </w:rPr>
            </w:pPr>
            <w:r>
              <w:rPr>
                <w:rFonts w:hint="eastAsia" w:asciiTheme="minorEastAsia" w:hAnsiTheme="minorEastAsia"/>
                <w:highlight w:val="none"/>
              </w:rPr>
              <w:t>计划</w:t>
            </w:r>
            <w:r>
              <w:rPr>
                <w:rFonts w:hint="eastAsia" w:asciiTheme="minorEastAsia" w:hAnsiTheme="minorEastAsia"/>
                <w:highlight w:val="none"/>
                <w:lang w:val="en-US"/>
              </w:rPr>
              <w:t>服务</w:t>
            </w:r>
            <w:r>
              <w:rPr>
                <w:rFonts w:hint="eastAsia" w:asciiTheme="minorEastAsia" w:hAnsiTheme="minorEastAsia"/>
                <w:highlight w:val="none"/>
              </w:rPr>
              <w:t>工期</w:t>
            </w:r>
          </w:p>
        </w:tc>
        <w:tc>
          <w:tcPr>
            <w:tcW w:w="5745" w:type="dxa"/>
            <w:vAlign w:val="center"/>
          </w:tcPr>
          <w:p>
            <w:pPr>
              <w:jc w:val="both"/>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符合第二章“投标人须知”第 1.3.2 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0" w:hRule="atLeast"/>
        </w:trPr>
        <w:tc>
          <w:tcPr>
            <w:tcW w:w="874" w:type="dxa"/>
            <w:vMerge w:val="continue"/>
            <w:vAlign w:val="center"/>
          </w:tcPr>
          <w:p>
            <w:pPr>
              <w:jc w:val="center"/>
              <w:rPr>
                <w:rFonts w:asciiTheme="minorEastAsia" w:hAnsiTheme="minorEastAsia" w:eastAsiaTheme="minorEastAsia" w:cstheme="minorEastAsia"/>
                <w:sz w:val="21"/>
                <w:szCs w:val="21"/>
                <w:highlight w:val="none"/>
              </w:rPr>
            </w:pPr>
          </w:p>
        </w:tc>
        <w:tc>
          <w:tcPr>
            <w:tcW w:w="1179" w:type="dxa"/>
            <w:vMerge w:val="continue"/>
            <w:vAlign w:val="center"/>
          </w:tcPr>
          <w:p>
            <w:pPr>
              <w:jc w:val="center"/>
              <w:rPr>
                <w:rFonts w:asciiTheme="minorEastAsia" w:hAnsiTheme="minorEastAsia" w:eastAsiaTheme="minorEastAsia" w:cstheme="minorEastAsia"/>
                <w:sz w:val="21"/>
                <w:szCs w:val="21"/>
                <w:highlight w:val="none"/>
              </w:rPr>
            </w:pPr>
          </w:p>
        </w:tc>
        <w:tc>
          <w:tcPr>
            <w:tcW w:w="2168" w:type="dxa"/>
            <w:vAlign w:val="center"/>
          </w:tcPr>
          <w:p>
            <w:pPr>
              <w:jc w:val="center"/>
              <w:rPr>
                <w:rFonts w:asciiTheme="minorEastAsia" w:hAnsiTheme="minorEastAsia" w:eastAsiaTheme="minorEastAsia" w:cstheme="minorEastAsia"/>
                <w:sz w:val="21"/>
                <w:szCs w:val="21"/>
                <w:highlight w:val="none"/>
              </w:rPr>
            </w:pPr>
            <w:r>
              <w:rPr>
                <w:rFonts w:hint="eastAsia" w:asciiTheme="minorEastAsia" w:hAnsiTheme="minorEastAsia"/>
                <w:highlight w:val="none"/>
                <w:lang w:val="en-US"/>
              </w:rPr>
              <w:t>服务</w:t>
            </w:r>
            <w:r>
              <w:rPr>
                <w:rFonts w:hint="eastAsia" w:asciiTheme="minorEastAsia" w:hAnsiTheme="minorEastAsia"/>
                <w:highlight w:val="none"/>
              </w:rPr>
              <w:t>地点</w:t>
            </w:r>
          </w:p>
        </w:tc>
        <w:tc>
          <w:tcPr>
            <w:tcW w:w="5745" w:type="dxa"/>
            <w:vAlign w:val="center"/>
          </w:tcPr>
          <w:p>
            <w:pPr>
              <w:jc w:val="both"/>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符合第二章“投标人须知”第 1.3.3 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874" w:type="dxa"/>
            <w:vMerge w:val="continue"/>
            <w:vAlign w:val="center"/>
          </w:tcPr>
          <w:p>
            <w:pPr>
              <w:jc w:val="center"/>
              <w:rPr>
                <w:rFonts w:asciiTheme="minorEastAsia" w:hAnsiTheme="minorEastAsia" w:eastAsiaTheme="minorEastAsia" w:cstheme="minorEastAsia"/>
                <w:sz w:val="21"/>
                <w:szCs w:val="21"/>
                <w:highlight w:val="none"/>
              </w:rPr>
            </w:pPr>
          </w:p>
        </w:tc>
        <w:tc>
          <w:tcPr>
            <w:tcW w:w="1179" w:type="dxa"/>
            <w:vMerge w:val="continue"/>
            <w:vAlign w:val="center"/>
          </w:tcPr>
          <w:p>
            <w:pPr>
              <w:jc w:val="center"/>
              <w:rPr>
                <w:rFonts w:asciiTheme="minorEastAsia" w:hAnsiTheme="minorEastAsia" w:eastAsiaTheme="minorEastAsia" w:cstheme="minorEastAsia"/>
                <w:sz w:val="21"/>
                <w:szCs w:val="21"/>
                <w:highlight w:val="none"/>
              </w:rPr>
            </w:pPr>
          </w:p>
        </w:tc>
        <w:tc>
          <w:tcPr>
            <w:tcW w:w="2168" w:type="dxa"/>
            <w:vAlign w:val="center"/>
          </w:tcPr>
          <w:p>
            <w:pPr>
              <w:jc w:val="center"/>
              <w:rPr>
                <w:rFonts w:asciiTheme="minorEastAsia" w:hAnsiTheme="minorEastAsia" w:eastAsiaTheme="minorEastAsia" w:cstheme="minorEastAsia"/>
                <w:sz w:val="21"/>
                <w:szCs w:val="21"/>
                <w:highlight w:val="none"/>
                <w:lang w:val="en-US"/>
              </w:rPr>
            </w:pPr>
            <w:r>
              <w:rPr>
                <w:rFonts w:hint="eastAsia" w:asciiTheme="minorEastAsia" w:hAnsiTheme="minorEastAsia" w:eastAsiaTheme="minorEastAsia" w:cstheme="minorEastAsia"/>
                <w:sz w:val="21"/>
                <w:szCs w:val="21"/>
                <w:highlight w:val="none"/>
                <w:lang w:val="en-US"/>
              </w:rPr>
              <w:t>技术性能指标</w:t>
            </w:r>
          </w:p>
        </w:tc>
        <w:tc>
          <w:tcPr>
            <w:tcW w:w="5745" w:type="dxa"/>
            <w:vAlign w:val="center"/>
          </w:tcPr>
          <w:p>
            <w:pPr>
              <w:jc w:val="both"/>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符合第二章“投标人须知”第 1.3.4 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0" w:hRule="atLeast"/>
        </w:trPr>
        <w:tc>
          <w:tcPr>
            <w:tcW w:w="874" w:type="dxa"/>
            <w:vMerge w:val="continue"/>
            <w:vAlign w:val="center"/>
          </w:tcPr>
          <w:p>
            <w:pPr>
              <w:jc w:val="center"/>
              <w:rPr>
                <w:rFonts w:asciiTheme="minorEastAsia" w:hAnsiTheme="minorEastAsia" w:eastAsiaTheme="minorEastAsia" w:cstheme="minorEastAsia"/>
                <w:sz w:val="21"/>
                <w:szCs w:val="21"/>
                <w:highlight w:val="none"/>
              </w:rPr>
            </w:pPr>
          </w:p>
        </w:tc>
        <w:tc>
          <w:tcPr>
            <w:tcW w:w="1179" w:type="dxa"/>
            <w:vMerge w:val="continue"/>
            <w:vAlign w:val="center"/>
          </w:tcPr>
          <w:p>
            <w:pPr>
              <w:jc w:val="center"/>
              <w:rPr>
                <w:rFonts w:asciiTheme="minorEastAsia" w:hAnsiTheme="minorEastAsia" w:eastAsiaTheme="minorEastAsia" w:cstheme="minorEastAsia"/>
                <w:sz w:val="21"/>
                <w:szCs w:val="21"/>
                <w:highlight w:val="none"/>
              </w:rPr>
            </w:pPr>
          </w:p>
        </w:tc>
        <w:tc>
          <w:tcPr>
            <w:tcW w:w="2168" w:type="dxa"/>
            <w:vAlign w:val="center"/>
          </w:tcPr>
          <w:p>
            <w:pPr>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投标有效期</w:t>
            </w:r>
          </w:p>
        </w:tc>
        <w:tc>
          <w:tcPr>
            <w:tcW w:w="5745" w:type="dxa"/>
            <w:vAlign w:val="center"/>
          </w:tcPr>
          <w:p>
            <w:pPr>
              <w:jc w:val="both"/>
              <w:rPr>
                <w:rFonts w:asciiTheme="minorEastAsia" w:hAnsiTheme="minorEastAsia" w:eastAsiaTheme="minorEastAsia" w:cstheme="minorEastAsia"/>
                <w:b/>
                <w:sz w:val="21"/>
                <w:szCs w:val="21"/>
                <w:highlight w:val="none"/>
              </w:rPr>
            </w:pPr>
            <w:r>
              <w:rPr>
                <w:rFonts w:hint="eastAsia" w:asciiTheme="minorEastAsia" w:hAnsiTheme="minorEastAsia" w:eastAsiaTheme="minorEastAsia" w:cstheme="minorEastAsia"/>
                <w:sz w:val="21"/>
                <w:szCs w:val="21"/>
                <w:highlight w:val="none"/>
              </w:rPr>
              <w:t>符合第二章“投标人须知”第 3.3.1 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0" w:hRule="atLeast"/>
        </w:trPr>
        <w:tc>
          <w:tcPr>
            <w:tcW w:w="874" w:type="dxa"/>
            <w:vMerge w:val="continue"/>
            <w:vAlign w:val="center"/>
          </w:tcPr>
          <w:p>
            <w:pPr>
              <w:jc w:val="center"/>
              <w:rPr>
                <w:rFonts w:asciiTheme="minorEastAsia" w:hAnsiTheme="minorEastAsia" w:eastAsiaTheme="minorEastAsia" w:cstheme="minorEastAsia"/>
                <w:sz w:val="21"/>
                <w:szCs w:val="21"/>
                <w:highlight w:val="none"/>
              </w:rPr>
            </w:pPr>
          </w:p>
        </w:tc>
        <w:tc>
          <w:tcPr>
            <w:tcW w:w="1179" w:type="dxa"/>
            <w:vMerge w:val="continue"/>
            <w:vAlign w:val="center"/>
          </w:tcPr>
          <w:p>
            <w:pPr>
              <w:jc w:val="center"/>
              <w:rPr>
                <w:rFonts w:asciiTheme="minorEastAsia" w:hAnsiTheme="minorEastAsia" w:eastAsiaTheme="minorEastAsia" w:cstheme="minorEastAsia"/>
                <w:sz w:val="21"/>
                <w:szCs w:val="21"/>
                <w:highlight w:val="none"/>
              </w:rPr>
            </w:pPr>
          </w:p>
        </w:tc>
        <w:tc>
          <w:tcPr>
            <w:tcW w:w="2168" w:type="dxa"/>
            <w:vAlign w:val="center"/>
          </w:tcPr>
          <w:p>
            <w:pPr>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投标保证金</w:t>
            </w:r>
          </w:p>
        </w:tc>
        <w:tc>
          <w:tcPr>
            <w:tcW w:w="5745" w:type="dxa"/>
            <w:vAlign w:val="center"/>
          </w:tcPr>
          <w:p>
            <w:pPr>
              <w:jc w:val="both"/>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符合第二章“投标人须知”第 3.4.1 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7" w:hRule="atLeast"/>
        </w:trPr>
        <w:tc>
          <w:tcPr>
            <w:tcW w:w="874" w:type="dxa"/>
            <w:vMerge w:val="continue"/>
            <w:vAlign w:val="center"/>
          </w:tcPr>
          <w:p>
            <w:pPr>
              <w:jc w:val="center"/>
              <w:rPr>
                <w:rFonts w:asciiTheme="minorEastAsia" w:hAnsiTheme="minorEastAsia" w:eastAsiaTheme="minorEastAsia" w:cstheme="minorEastAsia"/>
                <w:sz w:val="21"/>
                <w:szCs w:val="21"/>
                <w:highlight w:val="none"/>
              </w:rPr>
            </w:pPr>
          </w:p>
        </w:tc>
        <w:tc>
          <w:tcPr>
            <w:tcW w:w="1179" w:type="dxa"/>
            <w:vMerge w:val="continue"/>
            <w:vAlign w:val="center"/>
          </w:tcPr>
          <w:p>
            <w:pPr>
              <w:jc w:val="center"/>
              <w:rPr>
                <w:rFonts w:asciiTheme="minorEastAsia" w:hAnsiTheme="minorEastAsia" w:eastAsiaTheme="minorEastAsia" w:cstheme="minorEastAsia"/>
                <w:sz w:val="21"/>
                <w:szCs w:val="21"/>
                <w:highlight w:val="none"/>
              </w:rPr>
            </w:pPr>
          </w:p>
        </w:tc>
        <w:tc>
          <w:tcPr>
            <w:tcW w:w="2168" w:type="dxa"/>
            <w:vAlign w:val="center"/>
          </w:tcPr>
          <w:p>
            <w:pPr>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 xml:space="preserve">权利义务  </w:t>
            </w:r>
          </w:p>
        </w:tc>
        <w:tc>
          <w:tcPr>
            <w:tcW w:w="5745" w:type="dxa"/>
            <w:vAlign w:val="center"/>
          </w:tcPr>
          <w:p>
            <w:pPr>
              <w:jc w:val="both"/>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符合第二章“投标人须知”第 1.11.1 项规定和第四章“合同条款及格式”中的实质性要求和条件</w:t>
            </w:r>
          </w:p>
        </w:tc>
      </w:tr>
    </w:tbl>
    <w:p>
      <w:pPr>
        <w:rPr>
          <w:sz w:val="21"/>
          <w:highlight w:val="none"/>
        </w:rPr>
      </w:pPr>
    </w:p>
    <w:p>
      <w:pPr>
        <w:pStyle w:val="20"/>
        <w:rPr>
          <w:highlight w:val="none"/>
        </w:rPr>
        <w:sectPr>
          <w:pgSz w:w="12240" w:h="15840"/>
          <w:pgMar w:top="1500" w:right="1100" w:bottom="1120" w:left="1400" w:header="0" w:footer="841" w:gutter="0"/>
          <w:cols w:space="720" w:num="1"/>
        </w:sectPr>
      </w:pPr>
    </w:p>
    <w:tbl>
      <w:tblPr>
        <w:tblStyle w:val="22"/>
        <w:tblW w:w="9922"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70"/>
        <w:gridCol w:w="1215"/>
        <w:gridCol w:w="2295"/>
        <w:gridCol w:w="55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870" w:type="dxa"/>
            <w:vMerge w:val="restart"/>
          </w:tcPr>
          <w:p>
            <w:pPr>
              <w:pStyle w:val="29"/>
              <w:rPr>
                <w:rFonts w:ascii="Times New Roman"/>
                <w:sz w:val="20"/>
                <w:highlight w:val="none"/>
              </w:rPr>
            </w:pPr>
          </w:p>
        </w:tc>
        <w:tc>
          <w:tcPr>
            <w:tcW w:w="1215" w:type="dxa"/>
            <w:vMerge w:val="restart"/>
          </w:tcPr>
          <w:p>
            <w:pPr>
              <w:pStyle w:val="29"/>
              <w:rPr>
                <w:rFonts w:ascii="Times New Roman"/>
                <w:sz w:val="20"/>
                <w:highlight w:val="none"/>
              </w:rPr>
            </w:pPr>
          </w:p>
        </w:tc>
        <w:tc>
          <w:tcPr>
            <w:tcW w:w="2295" w:type="dxa"/>
          </w:tcPr>
          <w:p>
            <w:pPr>
              <w:pStyle w:val="29"/>
              <w:spacing w:before="142"/>
              <w:ind w:left="62" w:right="52"/>
              <w:jc w:val="center"/>
              <w:rPr>
                <w:sz w:val="21"/>
                <w:highlight w:val="none"/>
              </w:rPr>
            </w:pPr>
            <w:r>
              <w:rPr>
                <w:sz w:val="21"/>
                <w:highlight w:val="none"/>
              </w:rPr>
              <w:t>联合体投标人</w:t>
            </w:r>
          </w:p>
        </w:tc>
        <w:tc>
          <w:tcPr>
            <w:tcW w:w="5542" w:type="dxa"/>
          </w:tcPr>
          <w:p>
            <w:pPr>
              <w:pStyle w:val="29"/>
              <w:spacing w:before="142"/>
              <w:ind w:left="108"/>
              <w:rPr>
                <w:sz w:val="21"/>
                <w:highlight w:val="none"/>
              </w:rPr>
            </w:pPr>
            <w:r>
              <w:rPr>
                <w:sz w:val="21"/>
                <w:highlight w:val="none"/>
              </w:rPr>
              <w:t>符合第二章</w:t>
            </w:r>
            <w:r>
              <w:rPr>
                <w:rFonts w:ascii="Times New Roman" w:hAnsi="Times New Roman" w:eastAsia="Times New Roman"/>
                <w:i/>
                <w:sz w:val="21"/>
                <w:highlight w:val="none"/>
              </w:rPr>
              <w:t>“</w:t>
            </w:r>
            <w:r>
              <w:rPr>
                <w:sz w:val="21"/>
                <w:highlight w:val="none"/>
              </w:rPr>
              <w:t>投标人须知</w:t>
            </w:r>
            <w:r>
              <w:rPr>
                <w:rFonts w:ascii="Times New Roman" w:hAnsi="Times New Roman" w:eastAsia="Times New Roman"/>
                <w:i/>
                <w:sz w:val="21"/>
                <w:highlight w:val="none"/>
              </w:rPr>
              <w:t>”</w:t>
            </w:r>
            <w:r>
              <w:rPr>
                <w:sz w:val="21"/>
                <w:highlight w:val="none"/>
              </w:rPr>
              <w:t xml:space="preserve">第 </w:t>
            </w:r>
            <w:r>
              <w:rPr>
                <w:rFonts w:ascii="Times New Roman" w:hAnsi="Times New Roman" w:eastAsia="Times New Roman"/>
                <w:sz w:val="21"/>
                <w:highlight w:val="none"/>
              </w:rPr>
              <w:t xml:space="preserve">1.4.2 </w:t>
            </w:r>
            <w:r>
              <w:rPr>
                <w:sz w:val="21"/>
                <w:highlight w:val="none"/>
              </w:rPr>
              <w:t>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5" w:hRule="atLeast"/>
        </w:trPr>
        <w:tc>
          <w:tcPr>
            <w:tcW w:w="870" w:type="dxa"/>
            <w:vMerge w:val="continue"/>
            <w:tcBorders>
              <w:top w:val="nil"/>
            </w:tcBorders>
          </w:tcPr>
          <w:p>
            <w:pPr>
              <w:rPr>
                <w:sz w:val="2"/>
                <w:szCs w:val="2"/>
                <w:highlight w:val="none"/>
              </w:rPr>
            </w:pPr>
          </w:p>
        </w:tc>
        <w:tc>
          <w:tcPr>
            <w:tcW w:w="1215" w:type="dxa"/>
            <w:vMerge w:val="continue"/>
            <w:tcBorders>
              <w:top w:val="nil"/>
            </w:tcBorders>
          </w:tcPr>
          <w:p>
            <w:pPr>
              <w:rPr>
                <w:sz w:val="2"/>
                <w:szCs w:val="2"/>
                <w:highlight w:val="none"/>
              </w:rPr>
            </w:pPr>
          </w:p>
        </w:tc>
        <w:tc>
          <w:tcPr>
            <w:tcW w:w="2295" w:type="dxa"/>
          </w:tcPr>
          <w:p>
            <w:pPr>
              <w:pStyle w:val="29"/>
              <w:spacing w:before="11"/>
              <w:rPr>
                <w:rFonts w:ascii="Microsoft JhengHei"/>
                <w:b/>
                <w:sz w:val="19"/>
                <w:highlight w:val="none"/>
              </w:rPr>
            </w:pPr>
          </w:p>
          <w:p>
            <w:pPr>
              <w:pStyle w:val="29"/>
              <w:ind w:left="61" w:right="52"/>
              <w:jc w:val="center"/>
              <w:rPr>
                <w:sz w:val="21"/>
                <w:highlight w:val="none"/>
              </w:rPr>
            </w:pPr>
            <w:r>
              <w:rPr>
                <w:sz w:val="21"/>
                <w:highlight w:val="none"/>
              </w:rPr>
              <w:t>不存在禁止投标的情形</w:t>
            </w:r>
          </w:p>
        </w:tc>
        <w:tc>
          <w:tcPr>
            <w:tcW w:w="5542" w:type="dxa"/>
            <w:vAlign w:val="center"/>
          </w:tcPr>
          <w:p>
            <w:pPr>
              <w:pStyle w:val="29"/>
              <w:spacing w:line="440" w:lineRule="exact"/>
              <w:ind w:left="108" w:right="93"/>
              <w:jc w:val="center"/>
              <w:rPr>
                <w:sz w:val="21"/>
                <w:highlight w:val="none"/>
              </w:rPr>
            </w:pPr>
            <w:r>
              <w:rPr>
                <w:spacing w:val="-2"/>
                <w:sz w:val="21"/>
                <w:highlight w:val="none"/>
              </w:rPr>
              <w:t>不存在第二章</w:t>
            </w:r>
            <w:r>
              <w:rPr>
                <w:rFonts w:ascii="Times New Roman" w:hAnsi="Times New Roman" w:eastAsia="Times New Roman"/>
                <w:i/>
                <w:spacing w:val="-3"/>
                <w:sz w:val="21"/>
                <w:highlight w:val="none"/>
              </w:rPr>
              <w:t>“</w:t>
            </w:r>
            <w:r>
              <w:rPr>
                <w:spacing w:val="-3"/>
                <w:sz w:val="21"/>
                <w:highlight w:val="none"/>
              </w:rPr>
              <w:t>投标人须知</w:t>
            </w:r>
            <w:r>
              <w:rPr>
                <w:rFonts w:ascii="Times New Roman" w:hAnsi="Times New Roman" w:eastAsia="Times New Roman"/>
                <w:i/>
                <w:sz w:val="21"/>
                <w:highlight w:val="none"/>
              </w:rPr>
              <w:t>”</w:t>
            </w:r>
            <w:r>
              <w:rPr>
                <w:spacing w:val="-39"/>
                <w:sz w:val="21"/>
                <w:highlight w:val="none"/>
              </w:rPr>
              <w:t xml:space="preserve">第 </w:t>
            </w:r>
            <w:r>
              <w:rPr>
                <w:rFonts w:ascii="Times New Roman" w:hAnsi="Times New Roman" w:eastAsia="Times New Roman"/>
                <w:sz w:val="21"/>
                <w:highlight w:val="none"/>
              </w:rPr>
              <w:t xml:space="preserve">1.4.3 </w:t>
            </w:r>
            <w:r>
              <w:rPr>
                <w:spacing w:val="-5"/>
                <w:sz w:val="21"/>
                <w:highlight w:val="none"/>
              </w:rPr>
              <w:t>项规定的任何</w:t>
            </w:r>
            <w:r>
              <w:rPr>
                <w:spacing w:val="-1"/>
                <w:sz w:val="21"/>
                <w:highlight w:val="none"/>
              </w:rPr>
              <w:t>一种情形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8" w:hRule="atLeast"/>
        </w:trPr>
        <w:tc>
          <w:tcPr>
            <w:tcW w:w="870" w:type="dxa"/>
            <w:vMerge w:val="continue"/>
            <w:tcBorders>
              <w:top w:val="nil"/>
            </w:tcBorders>
          </w:tcPr>
          <w:p>
            <w:pPr>
              <w:rPr>
                <w:sz w:val="2"/>
                <w:szCs w:val="2"/>
                <w:highlight w:val="none"/>
              </w:rPr>
            </w:pPr>
          </w:p>
        </w:tc>
        <w:tc>
          <w:tcPr>
            <w:tcW w:w="1215" w:type="dxa"/>
            <w:vMerge w:val="continue"/>
            <w:tcBorders>
              <w:top w:val="nil"/>
            </w:tcBorders>
          </w:tcPr>
          <w:p>
            <w:pPr>
              <w:rPr>
                <w:sz w:val="2"/>
                <w:szCs w:val="2"/>
                <w:highlight w:val="none"/>
              </w:rPr>
            </w:pPr>
          </w:p>
        </w:tc>
        <w:tc>
          <w:tcPr>
            <w:tcW w:w="2295" w:type="dxa"/>
          </w:tcPr>
          <w:p>
            <w:pPr>
              <w:pStyle w:val="29"/>
              <w:spacing w:before="142"/>
              <w:ind w:left="108"/>
              <w:jc w:val="center"/>
              <w:rPr>
                <w:sz w:val="21"/>
                <w:highlight w:val="none"/>
              </w:rPr>
            </w:pPr>
            <w:r>
              <w:rPr>
                <w:sz w:val="21"/>
                <w:highlight w:val="none"/>
              </w:rPr>
              <w:t>业绩要求（如有）</w:t>
            </w:r>
          </w:p>
        </w:tc>
        <w:tc>
          <w:tcPr>
            <w:tcW w:w="5542" w:type="dxa"/>
            <w:vAlign w:val="center"/>
          </w:tcPr>
          <w:p>
            <w:pPr>
              <w:pStyle w:val="29"/>
              <w:spacing w:before="11"/>
              <w:jc w:val="both"/>
              <w:rPr>
                <w:rFonts w:ascii="Microsoft JhengHei"/>
                <w:b/>
                <w:sz w:val="19"/>
                <w:highlight w:val="none"/>
              </w:rPr>
            </w:pPr>
          </w:p>
          <w:p>
            <w:pPr>
              <w:pStyle w:val="29"/>
              <w:ind w:left="108"/>
              <w:jc w:val="both"/>
              <w:rPr>
                <w:sz w:val="21"/>
                <w:highlight w:val="none"/>
              </w:rPr>
            </w:pPr>
            <w:r>
              <w:rPr>
                <w:sz w:val="21"/>
                <w:highlight w:val="none"/>
              </w:rPr>
              <w:t>符合第二章</w:t>
            </w:r>
            <w:r>
              <w:rPr>
                <w:rFonts w:ascii="Times New Roman" w:hAnsi="Times New Roman" w:eastAsia="Times New Roman"/>
                <w:i/>
                <w:sz w:val="21"/>
                <w:highlight w:val="none"/>
              </w:rPr>
              <w:t>“</w:t>
            </w:r>
            <w:r>
              <w:rPr>
                <w:sz w:val="21"/>
                <w:highlight w:val="none"/>
              </w:rPr>
              <w:t>投标人须知</w:t>
            </w:r>
            <w:r>
              <w:rPr>
                <w:rFonts w:ascii="Times New Roman" w:hAnsi="Times New Roman" w:eastAsia="Times New Roman"/>
                <w:i/>
                <w:sz w:val="21"/>
                <w:highlight w:val="none"/>
              </w:rPr>
              <w:t>”</w:t>
            </w:r>
            <w:r>
              <w:rPr>
                <w:sz w:val="21"/>
                <w:highlight w:val="none"/>
              </w:rPr>
              <w:t xml:space="preserve">第 </w:t>
            </w:r>
            <w:r>
              <w:rPr>
                <w:rFonts w:ascii="Times New Roman" w:hAnsi="Times New Roman" w:eastAsia="Times New Roman"/>
                <w:sz w:val="21"/>
                <w:highlight w:val="none"/>
              </w:rPr>
              <w:t xml:space="preserve">1.4.1 </w:t>
            </w:r>
            <w:r>
              <w:rPr>
                <w:sz w:val="21"/>
                <w:highlight w:val="none"/>
              </w:rPr>
              <w:t>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870" w:type="dxa"/>
            <w:vMerge w:val="restart"/>
          </w:tcPr>
          <w:p>
            <w:pPr>
              <w:pStyle w:val="29"/>
              <w:rPr>
                <w:rFonts w:ascii="Microsoft JhengHei"/>
                <w:b/>
                <w:highlight w:val="none"/>
              </w:rPr>
            </w:pPr>
          </w:p>
          <w:p>
            <w:pPr>
              <w:pStyle w:val="29"/>
              <w:rPr>
                <w:rFonts w:ascii="Microsoft JhengHei"/>
                <w:b/>
                <w:highlight w:val="none"/>
              </w:rPr>
            </w:pPr>
          </w:p>
          <w:p>
            <w:pPr>
              <w:pStyle w:val="29"/>
              <w:rPr>
                <w:rFonts w:ascii="Microsoft JhengHei"/>
                <w:b/>
                <w:highlight w:val="none"/>
              </w:rPr>
            </w:pPr>
          </w:p>
          <w:p>
            <w:pPr>
              <w:pStyle w:val="29"/>
              <w:rPr>
                <w:rFonts w:ascii="Microsoft JhengHei"/>
                <w:b/>
                <w:highlight w:val="none"/>
              </w:rPr>
            </w:pPr>
          </w:p>
          <w:p>
            <w:pPr>
              <w:pStyle w:val="29"/>
              <w:rPr>
                <w:rFonts w:ascii="Microsoft JhengHei"/>
                <w:b/>
                <w:highlight w:val="none"/>
              </w:rPr>
            </w:pPr>
          </w:p>
          <w:p>
            <w:pPr>
              <w:pStyle w:val="29"/>
              <w:rPr>
                <w:rFonts w:ascii="Microsoft JhengHei"/>
                <w:b/>
                <w:highlight w:val="none"/>
              </w:rPr>
            </w:pPr>
          </w:p>
          <w:p>
            <w:pPr>
              <w:pStyle w:val="29"/>
              <w:spacing w:before="8"/>
              <w:rPr>
                <w:rFonts w:ascii="Microsoft JhengHei"/>
                <w:b/>
                <w:sz w:val="11"/>
                <w:highlight w:val="none"/>
              </w:rPr>
            </w:pPr>
          </w:p>
          <w:p>
            <w:pPr>
              <w:pStyle w:val="29"/>
              <w:spacing w:before="1"/>
              <w:ind w:left="239"/>
              <w:rPr>
                <w:rFonts w:ascii="Times New Roman"/>
                <w:sz w:val="21"/>
                <w:highlight w:val="none"/>
              </w:rPr>
            </w:pPr>
            <w:r>
              <w:rPr>
                <w:rFonts w:ascii="Times New Roman"/>
                <w:sz w:val="21"/>
                <w:highlight w:val="none"/>
              </w:rPr>
              <w:t>2.1.3</w:t>
            </w:r>
          </w:p>
        </w:tc>
        <w:tc>
          <w:tcPr>
            <w:tcW w:w="1215" w:type="dxa"/>
            <w:vMerge w:val="restart"/>
          </w:tcPr>
          <w:p>
            <w:pPr>
              <w:pStyle w:val="29"/>
              <w:rPr>
                <w:rFonts w:ascii="Microsoft JhengHei"/>
                <w:b/>
                <w:sz w:val="20"/>
                <w:highlight w:val="none"/>
              </w:rPr>
            </w:pPr>
          </w:p>
          <w:p>
            <w:pPr>
              <w:pStyle w:val="29"/>
              <w:rPr>
                <w:rFonts w:ascii="Microsoft JhengHei"/>
                <w:b/>
                <w:sz w:val="20"/>
                <w:highlight w:val="none"/>
              </w:rPr>
            </w:pPr>
          </w:p>
          <w:p>
            <w:pPr>
              <w:pStyle w:val="29"/>
              <w:rPr>
                <w:rFonts w:ascii="Microsoft JhengHei"/>
                <w:b/>
                <w:sz w:val="20"/>
                <w:highlight w:val="none"/>
              </w:rPr>
            </w:pPr>
          </w:p>
          <w:p>
            <w:pPr>
              <w:pStyle w:val="29"/>
              <w:rPr>
                <w:rFonts w:ascii="Microsoft JhengHei"/>
                <w:b/>
                <w:sz w:val="20"/>
                <w:highlight w:val="none"/>
              </w:rPr>
            </w:pPr>
          </w:p>
          <w:p>
            <w:pPr>
              <w:pStyle w:val="29"/>
              <w:rPr>
                <w:rFonts w:ascii="Microsoft JhengHei"/>
                <w:b/>
                <w:sz w:val="20"/>
                <w:highlight w:val="none"/>
              </w:rPr>
            </w:pPr>
          </w:p>
          <w:p>
            <w:pPr>
              <w:pStyle w:val="29"/>
              <w:rPr>
                <w:rFonts w:ascii="Microsoft JhengHei"/>
                <w:b/>
                <w:sz w:val="20"/>
                <w:highlight w:val="none"/>
              </w:rPr>
            </w:pPr>
          </w:p>
          <w:p>
            <w:pPr>
              <w:pStyle w:val="29"/>
              <w:spacing w:before="15"/>
              <w:rPr>
                <w:rFonts w:ascii="Microsoft JhengHei"/>
                <w:b/>
                <w:sz w:val="10"/>
                <w:highlight w:val="none"/>
              </w:rPr>
            </w:pPr>
          </w:p>
          <w:p>
            <w:pPr>
              <w:pStyle w:val="29"/>
              <w:spacing w:line="391" w:lineRule="auto"/>
              <w:ind w:left="244" w:right="127" w:hanging="104"/>
              <w:rPr>
                <w:sz w:val="21"/>
                <w:highlight w:val="none"/>
              </w:rPr>
            </w:pPr>
            <w:r>
              <w:rPr>
                <w:sz w:val="21"/>
                <w:highlight w:val="none"/>
              </w:rPr>
              <w:t>响应性评审标准</w:t>
            </w:r>
          </w:p>
        </w:tc>
        <w:tc>
          <w:tcPr>
            <w:tcW w:w="2295" w:type="dxa"/>
          </w:tcPr>
          <w:p>
            <w:pPr>
              <w:pStyle w:val="29"/>
              <w:spacing w:before="142"/>
              <w:ind w:left="108"/>
              <w:jc w:val="center"/>
              <w:rPr>
                <w:sz w:val="21"/>
                <w:highlight w:val="none"/>
              </w:rPr>
            </w:pPr>
            <w:r>
              <w:rPr>
                <w:sz w:val="21"/>
                <w:highlight w:val="none"/>
              </w:rPr>
              <w:t>投标报价</w:t>
            </w:r>
          </w:p>
        </w:tc>
        <w:tc>
          <w:tcPr>
            <w:tcW w:w="5542" w:type="dxa"/>
            <w:vAlign w:val="center"/>
          </w:tcPr>
          <w:p>
            <w:pPr>
              <w:pStyle w:val="29"/>
              <w:spacing w:before="142"/>
              <w:ind w:left="108"/>
              <w:jc w:val="both"/>
              <w:rPr>
                <w:sz w:val="21"/>
                <w:highlight w:val="none"/>
              </w:rPr>
            </w:pPr>
            <w:r>
              <w:rPr>
                <w:sz w:val="21"/>
                <w:highlight w:val="none"/>
              </w:rPr>
              <w:t>符合第二章</w:t>
            </w:r>
            <w:r>
              <w:rPr>
                <w:rFonts w:ascii="Times New Roman" w:hAnsi="Times New Roman" w:eastAsia="Times New Roman"/>
                <w:i/>
                <w:sz w:val="21"/>
                <w:highlight w:val="none"/>
              </w:rPr>
              <w:t>“</w:t>
            </w:r>
            <w:r>
              <w:rPr>
                <w:sz w:val="21"/>
                <w:highlight w:val="none"/>
              </w:rPr>
              <w:t>投标人须知</w:t>
            </w:r>
            <w:r>
              <w:rPr>
                <w:rFonts w:ascii="Times New Roman" w:hAnsi="Times New Roman" w:eastAsia="Times New Roman"/>
                <w:i/>
                <w:sz w:val="21"/>
                <w:highlight w:val="none"/>
              </w:rPr>
              <w:t>”</w:t>
            </w:r>
            <w:r>
              <w:rPr>
                <w:sz w:val="21"/>
                <w:highlight w:val="none"/>
              </w:rPr>
              <w:t xml:space="preserve">第 </w:t>
            </w:r>
            <w:r>
              <w:rPr>
                <w:rFonts w:ascii="Times New Roman" w:hAnsi="Times New Roman" w:eastAsia="Times New Roman"/>
                <w:sz w:val="21"/>
                <w:highlight w:val="none"/>
              </w:rPr>
              <w:t xml:space="preserve">3.2 </w:t>
            </w:r>
            <w:r>
              <w:rPr>
                <w:sz w:val="21"/>
                <w:highlight w:val="none"/>
              </w:rPr>
              <w:t>款规定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870" w:type="dxa"/>
            <w:vMerge w:val="continue"/>
            <w:tcBorders>
              <w:top w:val="nil"/>
            </w:tcBorders>
          </w:tcPr>
          <w:p>
            <w:pPr>
              <w:rPr>
                <w:sz w:val="2"/>
                <w:szCs w:val="2"/>
                <w:highlight w:val="none"/>
              </w:rPr>
            </w:pPr>
          </w:p>
        </w:tc>
        <w:tc>
          <w:tcPr>
            <w:tcW w:w="1215" w:type="dxa"/>
            <w:vMerge w:val="continue"/>
            <w:tcBorders>
              <w:top w:val="nil"/>
            </w:tcBorders>
          </w:tcPr>
          <w:p>
            <w:pPr>
              <w:rPr>
                <w:sz w:val="2"/>
                <w:szCs w:val="2"/>
                <w:highlight w:val="none"/>
              </w:rPr>
            </w:pPr>
          </w:p>
        </w:tc>
        <w:tc>
          <w:tcPr>
            <w:tcW w:w="2295" w:type="dxa"/>
          </w:tcPr>
          <w:p>
            <w:pPr>
              <w:pStyle w:val="29"/>
              <w:spacing w:before="142"/>
              <w:ind w:left="64" w:right="51"/>
              <w:jc w:val="center"/>
              <w:rPr>
                <w:sz w:val="21"/>
                <w:highlight w:val="none"/>
              </w:rPr>
            </w:pPr>
            <w:r>
              <w:rPr>
                <w:sz w:val="21"/>
                <w:highlight w:val="none"/>
              </w:rPr>
              <w:t>投标内容</w:t>
            </w:r>
          </w:p>
        </w:tc>
        <w:tc>
          <w:tcPr>
            <w:tcW w:w="5542" w:type="dxa"/>
            <w:vAlign w:val="center"/>
          </w:tcPr>
          <w:p>
            <w:pPr>
              <w:pStyle w:val="29"/>
              <w:spacing w:before="142"/>
              <w:ind w:left="108"/>
              <w:jc w:val="both"/>
              <w:rPr>
                <w:sz w:val="21"/>
                <w:highlight w:val="none"/>
              </w:rPr>
            </w:pPr>
            <w:r>
              <w:rPr>
                <w:sz w:val="21"/>
                <w:highlight w:val="none"/>
              </w:rPr>
              <w:t>符合第二章</w:t>
            </w:r>
            <w:r>
              <w:rPr>
                <w:rFonts w:ascii="Times New Roman" w:hAnsi="Times New Roman" w:eastAsia="Times New Roman"/>
                <w:i/>
                <w:sz w:val="21"/>
                <w:highlight w:val="none"/>
              </w:rPr>
              <w:t>“</w:t>
            </w:r>
            <w:r>
              <w:rPr>
                <w:sz w:val="21"/>
                <w:highlight w:val="none"/>
              </w:rPr>
              <w:t>投标人须知</w:t>
            </w:r>
            <w:r>
              <w:rPr>
                <w:rFonts w:ascii="Times New Roman" w:hAnsi="Times New Roman" w:eastAsia="Times New Roman"/>
                <w:i/>
                <w:sz w:val="21"/>
                <w:highlight w:val="none"/>
              </w:rPr>
              <w:t>”</w:t>
            </w:r>
            <w:r>
              <w:rPr>
                <w:sz w:val="21"/>
                <w:highlight w:val="none"/>
              </w:rPr>
              <w:t xml:space="preserve">第 </w:t>
            </w:r>
            <w:r>
              <w:rPr>
                <w:rFonts w:ascii="Times New Roman" w:hAnsi="Times New Roman" w:eastAsia="Times New Roman"/>
                <w:sz w:val="21"/>
                <w:highlight w:val="none"/>
              </w:rPr>
              <w:t xml:space="preserve">1.3.1 </w:t>
            </w:r>
            <w:r>
              <w:rPr>
                <w:sz w:val="21"/>
                <w:highlight w:val="none"/>
              </w:rPr>
              <w:t>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6" w:hRule="atLeast"/>
        </w:trPr>
        <w:tc>
          <w:tcPr>
            <w:tcW w:w="870" w:type="dxa"/>
            <w:vMerge w:val="continue"/>
            <w:tcBorders>
              <w:top w:val="nil"/>
            </w:tcBorders>
          </w:tcPr>
          <w:p>
            <w:pPr>
              <w:rPr>
                <w:sz w:val="2"/>
                <w:szCs w:val="2"/>
                <w:highlight w:val="none"/>
              </w:rPr>
            </w:pPr>
          </w:p>
        </w:tc>
        <w:tc>
          <w:tcPr>
            <w:tcW w:w="1215" w:type="dxa"/>
            <w:vMerge w:val="continue"/>
            <w:tcBorders>
              <w:top w:val="nil"/>
            </w:tcBorders>
          </w:tcPr>
          <w:p>
            <w:pPr>
              <w:rPr>
                <w:sz w:val="2"/>
                <w:szCs w:val="2"/>
                <w:highlight w:val="none"/>
              </w:rPr>
            </w:pPr>
          </w:p>
        </w:tc>
        <w:tc>
          <w:tcPr>
            <w:tcW w:w="2295" w:type="dxa"/>
          </w:tcPr>
          <w:p>
            <w:pPr>
              <w:pStyle w:val="29"/>
              <w:spacing w:before="142"/>
              <w:ind w:left="62" w:right="52"/>
              <w:jc w:val="center"/>
              <w:rPr>
                <w:sz w:val="21"/>
                <w:highlight w:val="none"/>
              </w:rPr>
            </w:pPr>
            <w:r>
              <w:rPr>
                <w:sz w:val="21"/>
                <w:highlight w:val="none"/>
              </w:rPr>
              <w:t>交货期</w:t>
            </w:r>
          </w:p>
        </w:tc>
        <w:tc>
          <w:tcPr>
            <w:tcW w:w="5542" w:type="dxa"/>
            <w:vAlign w:val="center"/>
          </w:tcPr>
          <w:p>
            <w:pPr>
              <w:pStyle w:val="29"/>
              <w:spacing w:before="142"/>
              <w:ind w:left="108"/>
              <w:jc w:val="both"/>
              <w:rPr>
                <w:sz w:val="21"/>
                <w:highlight w:val="none"/>
              </w:rPr>
            </w:pPr>
            <w:r>
              <w:rPr>
                <w:sz w:val="21"/>
                <w:highlight w:val="none"/>
              </w:rPr>
              <w:t>符合第二章</w:t>
            </w:r>
            <w:r>
              <w:rPr>
                <w:rFonts w:ascii="Times New Roman" w:hAnsi="Times New Roman" w:eastAsia="Times New Roman"/>
                <w:i/>
                <w:sz w:val="21"/>
                <w:highlight w:val="none"/>
              </w:rPr>
              <w:t>“</w:t>
            </w:r>
            <w:r>
              <w:rPr>
                <w:sz w:val="21"/>
                <w:highlight w:val="none"/>
              </w:rPr>
              <w:t>投标人须知</w:t>
            </w:r>
            <w:r>
              <w:rPr>
                <w:rFonts w:ascii="Times New Roman" w:hAnsi="Times New Roman" w:eastAsia="Times New Roman"/>
                <w:i/>
                <w:sz w:val="21"/>
                <w:highlight w:val="none"/>
              </w:rPr>
              <w:t>”</w:t>
            </w:r>
            <w:r>
              <w:rPr>
                <w:sz w:val="21"/>
                <w:highlight w:val="none"/>
              </w:rPr>
              <w:t xml:space="preserve">第 </w:t>
            </w:r>
            <w:r>
              <w:rPr>
                <w:rFonts w:ascii="Times New Roman" w:hAnsi="Times New Roman" w:eastAsia="Times New Roman"/>
                <w:sz w:val="21"/>
                <w:highlight w:val="none"/>
              </w:rPr>
              <w:t xml:space="preserve">1.3.2 </w:t>
            </w:r>
            <w:r>
              <w:rPr>
                <w:sz w:val="21"/>
                <w:highlight w:val="none"/>
              </w:rPr>
              <w:t>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trPr>
        <w:tc>
          <w:tcPr>
            <w:tcW w:w="870" w:type="dxa"/>
            <w:vMerge w:val="continue"/>
            <w:tcBorders>
              <w:top w:val="nil"/>
            </w:tcBorders>
          </w:tcPr>
          <w:p>
            <w:pPr>
              <w:rPr>
                <w:sz w:val="2"/>
                <w:szCs w:val="2"/>
                <w:highlight w:val="none"/>
              </w:rPr>
            </w:pPr>
          </w:p>
        </w:tc>
        <w:tc>
          <w:tcPr>
            <w:tcW w:w="1215" w:type="dxa"/>
            <w:vMerge w:val="continue"/>
            <w:tcBorders>
              <w:top w:val="nil"/>
            </w:tcBorders>
          </w:tcPr>
          <w:p>
            <w:pPr>
              <w:rPr>
                <w:sz w:val="2"/>
                <w:szCs w:val="2"/>
                <w:highlight w:val="none"/>
              </w:rPr>
            </w:pPr>
          </w:p>
        </w:tc>
        <w:tc>
          <w:tcPr>
            <w:tcW w:w="2295" w:type="dxa"/>
          </w:tcPr>
          <w:p>
            <w:pPr>
              <w:pStyle w:val="29"/>
              <w:spacing w:before="142"/>
              <w:ind w:left="64" w:right="51"/>
              <w:jc w:val="center"/>
              <w:rPr>
                <w:sz w:val="21"/>
                <w:highlight w:val="none"/>
              </w:rPr>
            </w:pPr>
            <w:r>
              <w:rPr>
                <w:sz w:val="21"/>
                <w:highlight w:val="none"/>
              </w:rPr>
              <w:t>交货地点</w:t>
            </w:r>
          </w:p>
        </w:tc>
        <w:tc>
          <w:tcPr>
            <w:tcW w:w="5542" w:type="dxa"/>
            <w:vAlign w:val="center"/>
          </w:tcPr>
          <w:p>
            <w:pPr>
              <w:pStyle w:val="29"/>
              <w:spacing w:before="142"/>
              <w:ind w:left="108"/>
              <w:jc w:val="both"/>
              <w:rPr>
                <w:sz w:val="21"/>
                <w:highlight w:val="none"/>
              </w:rPr>
            </w:pPr>
            <w:r>
              <w:rPr>
                <w:sz w:val="21"/>
                <w:highlight w:val="none"/>
              </w:rPr>
              <w:t>符合第二章</w:t>
            </w:r>
            <w:r>
              <w:rPr>
                <w:rFonts w:ascii="Times New Roman" w:hAnsi="Times New Roman" w:eastAsia="Times New Roman"/>
                <w:i/>
                <w:sz w:val="21"/>
                <w:highlight w:val="none"/>
              </w:rPr>
              <w:t>“</w:t>
            </w:r>
            <w:r>
              <w:rPr>
                <w:sz w:val="21"/>
                <w:highlight w:val="none"/>
              </w:rPr>
              <w:t>投标人须知</w:t>
            </w:r>
            <w:r>
              <w:rPr>
                <w:rFonts w:ascii="Times New Roman" w:hAnsi="Times New Roman" w:eastAsia="Times New Roman"/>
                <w:i/>
                <w:sz w:val="21"/>
                <w:highlight w:val="none"/>
              </w:rPr>
              <w:t>”</w:t>
            </w:r>
            <w:r>
              <w:rPr>
                <w:sz w:val="21"/>
                <w:highlight w:val="none"/>
              </w:rPr>
              <w:t xml:space="preserve">第 </w:t>
            </w:r>
            <w:r>
              <w:rPr>
                <w:rFonts w:ascii="Times New Roman" w:hAnsi="Times New Roman" w:eastAsia="Times New Roman"/>
                <w:sz w:val="21"/>
                <w:highlight w:val="none"/>
              </w:rPr>
              <w:t xml:space="preserve">1.3.3 </w:t>
            </w:r>
            <w:r>
              <w:rPr>
                <w:sz w:val="21"/>
                <w:highlight w:val="none"/>
              </w:rPr>
              <w:t>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6" w:hRule="atLeast"/>
        </w:trPr>
        <w:tc>
          <w:tcPr>
            <w:tcW w:w="870" w:type="dxa"/>
            <w:vMerge w:val="continue"/>
            <w:tcBorders>
              <w:top w:val="nil"/>
            </w:tcBorders>
          </w:tcPr>
          <w:p>
            <w:pPr>
              <w:rPr>
                <w:sz w:val="2"/>
                <w:szCs w:val="2"/>
                <w:highlight w:val="none"/>
              </w:rPr>
            </w:pPr>
          </w:p>
        </w:tc>
        <w:tc>
          <w:tcPr>
            <w:tcW w:w="1215" w:type="dxa"/>
            <w:vMerge w:val="continue"/>
            <w:tcBorders>
              <w:top w:val="nil"/>
            </w:tcBorders>
          </w:tcPr>
          <w:p>
            <w:pPr>
              <w:rPr>
                <w:sz w:val="2"/>
                <w:szCs w:val="2"/>
                <w:highlight w:val="none"/>
              </w:rPr>
            </w:pPr>
          </w:p>
        </w:tc>
        <w:tc>
          <w:tcPr>
            <w:tcW w:w="2295" w:type="dxa"/>
          </w:tcPr>
          <w:p>
            <w:pPr>
              <w:pStyle w:val="29"/>
              <w:spacing w:before="142"/>
              <w:ind w:left="64" w:right="51"/>
              <w:jc w:val="center"/>
              <w:rPr>
                <w:sz w:val="21"/>
                <w:highlight w:val="none"/>
              </w:rPr>
            </w:pPr>
            <w:r>
              <w:rPr>
                <w:sz w:val="21"/>
                <w:highlight w:val="none"/>
              </w:rPr>
              <w:t>质量要求</w:t>
            </w:r>
          </w:p>
        </w:tc>
        <w:tc>
          <w:tcPr>
            <w:tcW w:w="5542" w:type="dxa"/>
            <w:vAlign w:val="center"/>
          </w:tcPr>
          <w:p>
            <w:pPr>
              <w:pStyle w:val="29"/>
              <w:spacing w:before="142"/>
              <w:ind w:left="108"/>
              <w:jc w:val="both"/>
              <w:rPr>
                <w:sz w:val="21"/>
                <w:highlight w:val="none"/>
              </w:rPr>
            </w:pPr>
            <w:r>
              <w:rPr>
                <w:sz w:val="21"/>
                <w:highlight w:val="none"/>
              </w:rPr>
              <w:t>符合第二章</w:t>
            </w:r>
            <w:r>
              <w:rPr>
                <w:rFonts w:ascii="Times New Roman" w:hAnsi="Times New Roman" w:eastAsia="Times New Roman"/>
                <w:i/>
                <w:sz w:val="21"/>
                <w:highlight w:val="none"/>
              </w:rPr>
              <w:t>“</w:t>
            </w:r>
            <w:r>
              <w:rPr>
                <w:sz w:val="21"/>
                <w:highlight w:val="none"/>
              </w:rPr>
              <w:t>投标人须知</w:t>
            </w:r>
            <w:r>
              <w:rPr>
                <w:rFonts w:ascii="Times New Roman" w:hAnsi="Times New Roman" w:eastAsia="Times New Roman"/>
                <w:i/>
                <w:sz w:val="21"/>
                <w:highlight w:val="none"/>
              </w:rPr>
              <w:t>”</w:t>
            </w:r>
            <w:r>
              <w:rPr>
                <w:sz w:val="21"/>
                <w:highlight w:val="none"/>
              </w:rPr>
              <w:t xml:space="preserve">第 </w:t>
            </w:r>
            <w:r>
              <w:rPr>
                <w:rFonts w:ascii="Times New Roman" w:hAnsi="Times New Roman" w:eastAsia="Times New Roman"/>
                <w:sz w:val="21"/>
                <w:highlight w:val="none"/>
              </w:rPr>
              <w:t xml:space="preserve">1.3.4 </w:t>
            </w:r>
            <w:r>
              <w:rPr>
                <w:sz w:val="21"/>
                <w:highlight w:val="none"/>
              </w:rPr>
              <w:t>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870" w:type="dxa"/>
            <w:vMerge w:val="continue"/>
            <w:tcBorders>
              <w:top w:val="nil"/>
            </w:tcBorders>
          </w:tcPr>
          <w:p>
            <w:pPr>
              <w:rPr>
                <w:sz w:val="2"/>
                <w:szCs w:val="2"/>
                <w:highlight w:val="none"/>
              </w:rPr>
            </w:pPr>
          </w:p>
        </w:tc>
        <w:tc>
          <w:tcPr>
            <w:tcW w:w="1215" w:type="dxa"/>
            <w:vMerge w:val="continue"/>
            <w:tcBorders>
              <w:top w:val="nil"/>
            </w:tcBorders>
          </w:tcPr>
          <w:p>
            <w:pPr>
              <w:rPr>
                <w:sz w:val="2"/>
                <w:szCs w:val="2"/>
                <w:highlight w:val="none"/>
              </w:rPr>
            </w:pPr>
          </w:p>
        </w:tc>
        <w:tc>
          <w:tcPr>
            <w:tcW w:w="2295" w:type="dxa"/>
          </w:tcPr>
          <w:p>
            <w:pPr>
              <w:pStyle w:val="29"/>
              <w:spacing w:before="143"/>
              <w:ind w:left="64" w:right="51"/>
              <w:jc w:val="center"/>
              <w:rPr>
                <w:sz w:val="21"/>
                <w:highlight w:val="none"/>
              </w:rPr>
            </w:pPr>
            <w:r>
              <w:rPr>
                <w:sz w:val="21"/>
                <w:highlight w:val="none"/>
              </w:rPr>
              <w:t>投标有效期</w:t>
            </w:r>
          </w:p>
        </w:tc>
        <w:tc>
          <w:tcPr>
            <w:tcW w:w="5542" w:type="dxa"/>
            <w:vAlign w:val="center"/>
          </w:tcPr>
          <w:p>
            <w:pPr>
              <w:pStyle w:val="29"/>
              <w:spacing w:before="143"/>
              <w:ind w:left="108"/>
              <w:jc w:val="both"/>
              <w:rPr>
                <w:sz w:val="21"/>
                <w:highlight w:val="none"/>
              </w:rPr>
            </w:pPr>
            <w:r>
              <w:rPr>
                <w:sz w:val="21"/>
                <w:highlight w:val="none"/>
              </w:rPr>
              <w:t>符合第二章</w:t>
            </w:r>
            <w:r>
              <w:rPr>
                <w:rFonts w:ascii="Times New Roman" w:hAnsi="Times New Roman" w:eastAsia="Times New Roman"/>
                <w:i/>
                <w:sz w:val="21"/>
                <w:highlight w:val="none"/>
              </w:rPr>
              <w:t>“</w:t>
            </w:r>
            <w:r>
              <w:rPr>
                <w:sz w:val="21"/>
                <w:highlight w:val="none"/>
              </w:rPr>
              <w:t>投标人须知</w:t>
            </w:r>
            <w:r>
              <w:rPr>
                <w:rFonts w:ascii="Times New Roman" w:hAnsi="Times New Roman" w:eastAsia="Times New Roman"/>
                <w:i/>
                <w:sz w:val="21"/>
                <w:highlight w:val="none"/>
              </w:rPr>
              <w:t>”</w:t>
            </w:r>
            <w:r>
              <w:rPr>
                <w:sz w:val="21"/>
                <w:highlight w:val="none"/>
              </w:rPr>
              <w:t xml:space="preserve">第 </w:t>
            </w:r>
            <w:r>
              <w:rPr>
                <w:rFonts w:ascii="Times New Roman" w:hAnsi="Times New Roman" w:eastAsia="Times New Roman"/>
                <w:sz w:val="21"/>
                <w:highlight w:val="none"/>
              </w:rPr>
              <w:t xml:space="preserve">3.3.1 </w:t>
            </w:r>
            <w:r>
              <w:rPr>
                <w:sz w:val="21"/>
                <w:highlight w:val="none"/>
              </w:rPr>
              <w:t>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6" w:hRule="atLeast"/>
        </w:trPr>
        <w:tc>
          <w:tcPr>
            <w:tcW w:w="870" w:type="dxa"/>
            <w:vMerge w:val="continue"/>
            <w:tcBorders>
              <w:top w:val="nil"/>
            </w:tcBorders>
          </w:tcPr>
          <w:p>
            <w:pPr>
              <w:rPr>
                <w:sz w:val="2"/>
                <w:szCs w:val="2"/>
                <w:highlight w:val="none"/>
              </w:rPr>
            </w:pPr>
          </w:p>
        </w:tc>
        <w:tc>
          <w:tcPr>
            <w:tcW w:w="1215" w:type="dxa"/>
            <w:vMerge w:val="continue"/>
            <w:tcBorders>
              <w:top w:val="nil"/>
            </w:tcBorders>
          </w:tcPr>
          <w:p>
            <w:pPr>
              <w:rPr>
                <w:sz w:val="2"/>
                <w:szCs w:val="2"/>
                <w:highlight w:val="none"/>
              </w:rPr>
            </w:pPr>
          </w:p>
        </w:tc>
        <w:tc>
          <w:tcPr>
            <w:tcW w:w="2295" w:type="dxa"/>
          </w:tcPr>
          <w:p>
            <w:pPr>
              <w:pStyle w:val="29"/>
              <w:spacing w:before="142"/>
              <w:ind w:left="64" w:right="51"/>
              <w:jc w:val="center"/>
              <w:rPr>
                <w:sz w:val="21"/>
                <w:highlight w:val="none"/>
              </w:rPr>
            </w:pPr>
            <w:r>
              <w:rPr>
                <w:sz w:val="21"/>
                <w:highlight w:val="none"/>
              </w:rPr>
              <w:t>投标保证金</w:t>
            </w:r>
          </w:p>
        </w:tc>
        <w:tc>
          <w:tcPr>
            <w:tcW w:w="5542" w:type="dxa"/>
            <w:vAlign w:val="center"/>
          </w:tcPr>
          <w:p>
            <w:pPr>
              <w:pStyle w:val="29"/>
              <w:spacing w:before="142"/>
              <w:ind w:left="108"/>
              <w:jc w:val="both"/>
              <w:rPr>
                <w:sz w:val="21"/>
                <w:highlight w:val="none"/>
              </w:rPr>
            </w:pPr>
            <w:r>
              <w:rPr>
                <w:sz w:val="21"/>
                <w:highlight w:val="none"/>
              </w:rPr>
              <w:t>符合第二章</w:t>
            </w:r>
            <w:r>
              <w:rPr>
                <w:rFonts w:ascii="Times New Roman" w:hAnsi="Times New Roman" w:eastAsia="Times New Roman"/>
                <w:i/>
                <w:sz w:val="21"/>
                <w:highlight w:val="none"/>
              </w:rPr>
              <w:t>“</w:t>
            </w:r>
            <w:r>
              <w:rPr>
                <w:sz w:val="21"/>
                <w:highlight w:val="none"/>
              </w:rPr>
              <w:t>投标人须知</w:t>
            </w:r>
            <w:r>
              <w:rPr>
                <w:rFonts w:ascii="Times New Roman" w:hAnsi="Times New Roman" w:eastAsia="Times New Roman"/>
                <w:i/>
                <w:sz w:val="21"/>
                <w:highlight w:val="none"/>
              </w:rPr>
              <w:t>”</w:t>
            </w:r>
            <w:r>
              <w:rPr>
                <w:sz w:val="21"/>
                <w:highlight w:val="none"/>
              </w:rPr>
              <w:t xml:space="preserve">第 </w:t>
            </w:r>
            <w:r>
              <w:rPr>
                <w:rFonts w:ascii="Times New Roman" w:hAnsi="Times New Roman" w:eastAsia="Times New Roman"/>
                <w:sz w:val="21"/>
                <w:highlight w:val="none"/>
              </w:rPr>
              <w:t xml:space="preserve">3.4.1 </w:t>
            </w:r>
            <w:r>
              <w:rPr>
                <w:sz w:val="21"/>
                <w:highlight w:val="none"/>
              </w:rPr>
              <w:t>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2" w:hRule="atLeast"/>
        </w:trPr>
        <w:tc>
          <w:tcPr>
            <w:tcW w:w="870" w:type="dxa"/>
            <w:vMerge w:val="continue"/>
            <w:tcBorders>
              <w:top w:val="nil"/>
            </w:tcBorders>
          </w:tcPr>
          <w:p>
            <w:pPr>
              <w:rPr>
                <w:sz w:val="2"/>
                <w:szCs w:val="2"/>
                <w:highlight w:val="none"/>
              </w:rPr>
            </w:pPr>
          </w:p>
        </w:tc>
        <w:tc>
          <w:tcPr>
            <w:tcW w:w="1215" w:type="dxa"/>
            <w:vMerge w:val="continue"/>
            <w:tcBorders>
              <w:top w:val="nil"/>
            </w:tcBorders>
          </w:tcPr>
          <w:p>
            <w:pPr>
              <w:rPr>
                <w:sz w:val="2"/>
                <w:szCs w:val="2"/>
                <w:highlight w:val="none"/>
              </w:rPr>
            </w:pPr>
          </w:p>
        </w:tc>
        <w:tc>
          <w:tcPr>
            <w:tcW w:w="2295" w:type="dxa"/>
            <w:vAlign w:val="center"/>
          </w:tcPr>
          <w:p>
            <w:pPr>
              <w:pStyle w:val="29"/>
              <w:spacing w:before="142"/>
              <w:ind w:left="64" w:right="51"/>
              <w:jc w:val="center"/>
              <w:rPr>
                <w:sz w:val="21"/>
                <w:highlight w:val="none"/>
              </w:rPr>
            </w:pPr>
            <w:r>
              <w:rPr>
                <w:sz w:val="21"/>
                <w:highlight w:val="none"/>
              </w:rPr>
              <w:t>权利义务</w:t>
            </w:r>
          </w:p>
        </w:tc>
        <w:tc>
          <w:tcPr>
            <w:tcW w:w="5542" w:type="dxa"/>
            <w:vAlign w:val="center"/>
          </w:tcPr>
          <w:p>
            <w:pPr>
              <w:pStyle w:val="29"/>
              <w:spacing w:before="142"/>
              <w:ind w:left="108"/>
              <w:jc w:val="both"/>
              <w:rPr>
                <w:sz w:val="21"/>
                <w:highlight w:val="none"/>
              </w:rPr>
            </w:pPr>
            <w:r>
              <w:rPr>
                <w:sz w:val="21"/>
                <w:highlight w:val="none"/>
              </w:rPr>
              <w:t>符合第二章</w:t>
            </w:r>
            <w:r>
              <w:rPr>
                <w:rFonts w:ascii="Times New Roman" w:hAnsi="Times New Roman" w:eastAsia="Times New Roman"/>
                <w:i/>
                <w:sz w:val="21"/>
                <w:highlight w:val="none"/>
              </w:rPr>
              <w:t>“</w:t>
            </w:r>
            <w:r>
              <w:rPr>
                <w:sz w:val="21"/>
                <w:highlight w:val="none"/>
              </w:rPr>
              <w:t>投标人须知</w:t>
            </w:r>
            <w:r>
              <w:rPr>
                <w:rFonts w:ascii="Times New Roman" w:hAnsi="Times New Roman" w:eastAsia="Times New Roman"/>
                <w:i/>
                <w:sz w:val="21"/>
                <w:highlight w:val="none"/>
              </w:rPr>
              <w:t>”</w:t>
            </w:r>
            <w:r>
              <w:rPr>
                <w:sz w:val="21"/>
                <w:highlight w:val="none"/>
              </w:rPr>
              <w:t xml:space="preserve">第 </w:t>
            </w:r>
            <w:r>
              <w:rPr>
                <w:rFonts w:ascii="Times New Roman" w:hAnsi="Times New Roman" w:eastAsia="Times New Roman"/>
                <w:sz w:val="21"/>
                <w:highlight w:val="none"/>
              </w:rPr>
              <w:t xml:space="preserve">1.11.1 </w:t>
            </w:r>
            <w:r>
              <w:rPr>
                <w:sz w:val="21"/>
                <w:highlight w:val="none"/>
              </w:rPr>
              <w:t>项规定和第四</w:t>
            </w:r>
          </w:p>
          <w:p>
            <w:pPr>
              <w:pStyle w:val="29"/>
              <w:spacing w:before="173"/>
              <w:ind w:left="108"/>
              <w:jc w:val="both"/>
              <w:rPr>
                <w:sz w:val="21"/>
                <w:highlight w:val="none"/>
              </w:rPr>
            </w:pPr>
            <w:r>
              <w:rPr>
                <w:sz w:val="21"/>
                <w:highlight w:val="none"/>
              </w:rPr>
              <w:t>章</w:t>
            </w:r>
            <w:r>
              <w:rPr>
                <w:rFonts w:ascii="Times New Roman" w:hAnsi="Times New Roman" w:eastAsia="Times New Roman"/>
                <w:i/>
                <w:sz w:val="21"/>
                <w:highlight w:val="none"/>
              </w:rPr>
              <w:t>“</w:t>
            </w:r>
            <w:r>
              <w:rPr>
                <w:sz w:val="21"/>
                <w:highlight w:val="none"/>
              </w:rPr>
              <w:t>合同条款及格式</w:t>
            </w:r>
            <w:r>
              <w:rPr>
                <w:rFonts w:ascii="Times New Roman" w:hAnsi="Times New Roman" w:eastAsia="Times New Roman"/>
                <w:i/>
                <w:sz w:val="21"/>
                <w:highlight w:val="none"/>
              </w:rPr>
              <w:t>”</w:t>
            </w:r>
            <w:r>
              <w:rPr>
                <w:sz w:val="21"/>
                <w:highlight w:val="none"/>
              </w:rPr>
              <w:t>中的实质性要求和条件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870" w:type="dxa"/>
            <w:vMerge w:val="continue"/>
            <w:tcBorders>
              <w:top w:val="nil"/>
            </w:tcBorders>
          </w:tcPr>
          <w:p>
            <w:pPr>
              <w:rPr>
                <w:sz w:val="2"/>
                <w:szCs w:val="2"/>
                <w:highlight w:val="none"/>
              </w:rPr>
            </w:pPr>
          </w:p>
        </w:tc>
        <w:tc>
          <w:tcPr>
            <w:tcW w:w="1215" w:type="dxa"/>
            <w:vMerge w:val="continue"/>
            <w:tcBorders>
              <w:top w:val="nil"/>
            </w:tcBorders>
          </w:tcPr>
          <w:p>
            <w:pPr>
              <w:rPr>
                <w:sz w:val="2"/>
                <w:szCs w:val="2"/>
                <w:highlight w:val="none"/>
              </w:rPr>
            </w:pPr>
          </w:p>
        </w:tc>
        <w:tc>
          <w:tcPr>
            <w:tcW w:w="2295" w:type="dxa"/>
          </w:tcPr>
          <w:p>
            <w:pPr>
              <w:pStyle w:val="29"/>
              <w:spacing w:before="142"/>
              <w:ind w:left="64" w:right="51"/>
              <w:jc w:val="center"/>
              <w:rPr>
                <w:sz w:val="21"/>
                <w:highlight w:val="none"/>
              </w:rPr>
            </w:pPr>
            <w:r>
              <w:rPr>
                <w:rFonts w:hint="eastAsia"/>
                <w:sz w:val="21"/>
                <w:highlight w:val="none"/>
                <w:lang w:val="en-US"/>
              </w:rPr>
              <w:t>运输计划方案</w:t>
            </w:r>
            <w:r>
              <w:rPr>
                <w:sz w:val="21"/>
                <w:highlight w:val="none"/>
              </w:rPr>
              <w:t>及相关服务</w:t>
            </w:r>
          </w:p>
        </w:tc>
        <w:tc>
          <w:tcPr>
            <w:tcW w:w="5542" w:type="dxa"/>
            <w:vAlign w:val="center"/>
          </w:tcPr>
          <w:p>
            <w:pPr>
              <w:pStyle w:val="29"/>
              <w:spacing w:before="142"/>
              <w:ind w:left="108"/>
              <w:jc w:val="both"/>
              <w:rPr>
                <w:sz w:val="21"/>
                <w:highlight w:val="none"/>
              </w:rPr>
            </w:pPr>
            <w:r>
              <w:rPr>
                <w:sz w:val="21"/>
                <w:highlight w:val="none"/>
              </w:rPr>
              <w:t>符合第</w:t>
            </w:r>
            <w:r>
              <w:rPr>
                <w:rFonts w:hint="eastAsia"/>
                <w:sz w:val="21"/>
                <w:highlight w:val="none"/>
                <w:lang w:val="en-US"/>
              </w:rPr>
              <w:t>六</w:t>
            </w:r>
            <w:r>
              <w:rPr>
                <w:sz w:val="21"/>
                <w:highlight w:val="none"/>
              </w:rPr>
              <w:t>章</w:t>
            </w:r>
            <w:r>
              <w:rPr>
                <w:rFonts w:ascii="Times New Roman" w:hAnsi="Times New Roman" w:eastAsia="Times New Roman"/>
                <w:i/>
                <w:sz w:val="21"/>
                <w:highlight w:val="none"/>
              </w:rPr>
              <w:t>“</w:t>
            </w:r>
            <w:r>
              <w:rPr>
                <w:rFonts w:hint="eastAsia"/>
                <w:sz w:val="21"/>
                <w:highlight w:val="none"/>
                <w:lang w:val="en-US"/>
              </w:rPr>
              <w:t>运输计划方案</w:t>
            </w:r>
            <w:r>
              <w:rPr>
                <w:rFonts w:ascii="Times New Roman" w:hAnsi="Times New Roman" w:eastAsia="Times New Roman"/>
                <w:i/>
                <w:sz w:val="21"/>
                <w:highlight w:val="none"/>
              </w:rPr>
              <w:t>”</w:t>
            </w:r>
            <w:r>
              <w:rPr>
                <w:sz w:val="21"/>
                <w:highlight w:val="none"/>
              </w:rPr>
              <w:t>中的实质性要求和条件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4" w:hRule="atLeast"/>
        </w:trPr>
        <w:tc>
          <w:tcPr>
            <w:tcW w:w="870" w:type="dxa"/>
            <w:vMerge w:val="continue"/>
            <w:tcBorders>
              <w:top w:val="nil"/>
              <w:bottom w:val="single" w:color="auto" w:sz="4" w:space="0"/>
            </w:tcBorders>
          </w:tcPr>
          <w:p>
            <w:pPr>
              <w:rPr>
                <w:sz w:val="2"/>
                <w:szCs w:val="2"/>
                <w:highlight w:val="none"/>
              </w:rPr>
            </w:pPr>
          </w:p>
        </w:tc>
        <w:tc>
          <w:tcPr>
            <w:tcW w:w="1215" w:type="dxa"/>
            <w:vMerge w:val="continue"/>
            <w:tcBorders>
              <w:top w:val="nil"/>
              <w:bottom w:val="single" w:color="auto" w:sz="4" w:space="0"/>
            </w:tcBorders>
          </w:tcPr>
          <w:p>
            <w:pPr>
              <w:rPr>
                <w:sz w:val="2"/>
                <w:szCs w:val="2"/>
                <w:highlight w:val="none"/>
              </w:rPr>
            </w:pPr>
          </w:p>
        </w:tc>
        <w:tc>
          <w:tcPr>
            <w:tcW w:w="2295" w:type="dxa"/>
            <w:tcBorders>
              <w:bottom w:val="single" w:color="auto" w:sz="4" w:space="0"/>
            </w:tcBorders>
          </w:tcPr>
          <w:p>
            <w:pPr>
              <w:pStyle w:val="29"/>
              <w:spacing w:before="145"/>
              <w:ind w:left="62" w:right="52"/>
              <w:jc w:val="center"/>
              <w:rPr>
                <w:sz w:val="21"/>
                <w:highlight w:val="none"/>
              </w:rPr>
            </w:pPr>
            <w:r>
              <w:rPr>
                <w:sz w:val="21"/>
                <w:highlight w:val="none"/>
              </w:rPr>
              <w:t>技术支持资料</w:t>
            </w:r>
          </w:p>
        </w:tc>
        <w:tc>
          <w:tcPr>
            <w:tcW w:w="5542" w:type="dxa"/>
            <w:vAlign w:val="center"/>
          </w:tcPr>
          <w:p>
            <w:pPr>
              <w:pStyle w:val="29"/>
              <w:spacing w:before="145"/>
              <w:ind w:left="108"/>
              <w:jc w:val="both"/>
              <w:rPr>
                <w:sz w:val="21"/>
                <w:highlight w:val="none"/>
              </w:rPr>
            </w:pPr>
            <w:r>
              <w:rPr>
                <w:sz w:val="21"/>
                <w:highlight w:val="none"/>
              </w:rPr>
              <w:t>符合第二章</w:t>
            </w:r>
            <w:r>
              <w:rPr>
                <w:rFonts w:ascii="Times New Roman" w:hAnsi="Times New Roman" w:eastAsia="Times New Roman"/>
                <w:i/>
                <w:sz w:val="21"/>
                <w:highlight w:val="none"/>
              </w:rPr>
              <w:t>“</w:t>
            </w:r>
            <w:r>
              <w:rPr>
                <w:sz w:val="21"/>
                <w:highlight w:val="none"/>
              </w:rPr>
              <w:t>投标人须知</w:t>
            </w:r>
            <w:r>
              <w:rPr>
                <w:rFonts w:ascii="Times New Roman" w:hAnsi="Times New Roman" w:eastAsia="Times New Roman"/>
                <w:i/>
                <w:sz w:val="21"/>
                <w:highlight w:val="none"/>
              </w:rPr>
              <w:t>”</w:t>
            </w:r>
            <w:r>
              <w:rPr>
                <w:sz w:val="21"/>
                <w:highlight w:val="none"/>
              </w:rPr>
              <w:t xml:space="preserve">第 </w:t>
            </w:r>
            <w:r>
              <w:rPr>
                <w:rFonts w:ascii="Times New Roman" w:hAnsi="Times New Roman" w:eastAsia="Times New Roman"/>
                <w:sz w:val="21"/>
                <w:highlight w:val="none"/>
              </w:rPr>
              <w:t xml:space="preserve">1.11.3 </w:t>
            </w:r>
            <w:r>
              <w:rPr>
                <w:sz w:val="21"/>
                <w:highlight w:val="none"/>
              </w:rPr>
              <w:t>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4" w:hRule="atLeast"/>
        </w:trPr>
        <w:tc>
          <w:tcPr>
            <w:tcW w:w="870" w:type="dxa"/>
            <w:tcBorders>
              <w:top w:val="single" w:color="auto" w:sz="4" w:space="0"/>
              <w:left w:val="single" w:color="auto" w:sz="4" w:space="0"/>
              <w:bottom w:val="single" w:color="auto" w:sz="4" w:space="0"/>
              <w:right w:val="single" w:color="auto" w:sz="4" w:space="0"/>
            </w:tcBorders>
          </w:tcPr>
          <w:p>
            <w:pPr>
              <w:jc w:val="center"/>
              <w:rPr>
                <w:highlight w:val="none"/>
                <w:lang w:val="en-US"/>
              </w:rPr>
            </w:pPr>
            <w:r>
              <w:rPr>
                <w:rFonts w:hint="eastAsia"/>
                <w:highlight w:val="none"/>
                <w:lang w:val="en-US"/>
              </w:rPr>
              <w:t>2.2</w:t>
            </w:r>
          </w:p>
        </w:tc>
        <w:tc>
          <w:tcPr>
            <w:tcW w:w="3510"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sz w:val="21"/>
                <w:highlight w:val="none"/>
              </w:rPr>
            </w:pPr>
            <w:r>
              <w:rPr>
                <w:rFonts w:ascii="Times New Roman" w:hAnsi="Times New Roman"/>
                <w:highlight w:val="none"/>
              </w:rPr>
              <w:t>详细评审标准</w:t>
            </w:r>
          </w:p>
        </w:tc>
        <w:tc>
          <w:tcPr>
            <w:tcW w:w="5542" w:type="dxa"/>
            <w:tcBorders>
              <w:left w:val="single" w:color="auto" w:sz="4" w:space="0"/>
            </w:tcBorders>
          </w:tcPr>
          <w:p>
            <w:pPr>
              <w:spacing w:line="440" w:lineRule="exact"/>
              <w:rPr>
                <w:sz w:val="21"/>
                <w:highlight w:val="none"/>
              </w:rPr>
            </w:pPr>
            <w:r>
              <w:rPr>
                <w:rFonts w:hint="eastAsia" w:ascii="Times New Roman" w:hAnsi="Times New Roman"/>
                <w:highlight w:val="none"/>
              </w:rPr>
              <w:t>通过第二个信封形式评审并</w:t>
            </w:r>
            <w:r>
              <w:rPr>
                <w:rFonts w:ascii="Times New Roman" w:hAnsi="Times New Roman"/>
                <w:highlight w:val="none"/>
              </w:rPr>
              <w:t>按算术性修正的投标报价</w:t>
            </w:r>
            <w:r>
              <w:rPr>
                <w:rFonts w:hint="eastAsia" w:ascii="Times New Roman" w:hAnsi="Times New Roman"/>
                <w:highlight w:val="none"/>
              </w:rPr>
              <w:t>由</w:t>
            </w:r>
            <w:r>
              <w:rPr>
                <w:rFonts w:ascii="Times New Roman" w:hAnsi="Times New Roman"/>
                <w:highlight w:val="none"/>
              </w:rPr>
              <w:t>低到高排序</w:t>
            </w:r>
            <w:r>
              <w:rPr>
                <w:rFonts w:hint="eastAsia" w:ascii="Times New Roman" w:hAnsi="Times New Roman"/>
                <w:highlight w:val="none"/>
              </w:rPr>
              <w:t>。</w:t>
            </w:r>
          </w:p>
        </w:tc>
      </w:tr>
    </w:tbl>
    <w:p>
      <w:pPr>
        <w:jc w:val="center"/>
        <w:rPr>
          <w:rFonts w:ascii="Times New Roman" w:hAnsi="Times New Roman"/>
          <w:sz w:val="21"/>
          <w:highlight w:val="none"/>
        </w:rPr>
        <w:sectPr>
          <w:pgSz w:w="12240" w:h="15840"/>
          <w:pgMar w:top="1440" w:right="1100" w:bottom="1040" w:left="1400" w:header="0" w:footer="841" w:gutter="0"/>
          <w:cols w:space="720" w:num="1"/>
        </w:sectPr>
      </w:pPr>
    </w:p>
    <w:p>
      <w:pPr>
        <w:pStyle w:val="4"/>
        <w:numPr>
          <w:ilvl w:val="0"/>
          <w:numId w:val="15"/>
        </w:numPr>
        <w:tabs>
          <w:tab w:val="left" w:pos="802"/>
        </w:tabs>
        <w:spacing w:line="525" w:lineRule="exact"/>
        <w:rPr>
          <w:highlight w:val="none"/>
        </w:rPr>
      </w:pPr>
      <w:bookmarkStart w:id="160" w:name="_bookmark94"/>
      <w:bookmarkEnd w:id="160"/>
      <w:bookmarkStart w:id="161" w:name="_Toc8823"/>
      <w:bookmarkStart w:id="162" w:name="_Toc4685"/>
      <w:r>
        <w:rPr>
          <w:highlight w:val="none"/>
        </w:rPr>
        <w:t>评标方法</w:t>
      </w:r>
      <w:bookmarkEnd w:id="161"/>
      <w:bookmarkEnd w:id="162"/>
    </w:p>
    <w:p>
      <w:pPr>
        <w:pStyle w:val="11"/>
        <w:spacing w:before="8"/>
        <w:rPr>
          <w:rFonts w:ascii="Microsoft JhengHei"/>
          <w:b/>
          <w:sz w:val="32"/>
          <w:highlight w:val="none"/>
        </w:rPr>
      </w:pPr>
    </w:p>
    <w:p>
      <w:pPr>
        <w:spacing w:line="400" w:lineRule="exact"/>
        <w:ind w:firstLine="440" w:firstLineChars="200"/>
        <w:rPr>
          <w:rFonts w:ascii="Times New Roman" w:hAnsi="Times New Roman"/>
          <w:highlight w:val="none"/>
        </w:rPr>
      </w:pPr>
      <w:bookmarkStart w:id="163" w:name="_bookmark95"/>
      <w:bookmarkEnd w:id="163"/>
      <w:bookmarkStart w:id="164" w:name="_Toc1301"/>
      <w:r>
        <w:rPr>
          <w:rFonts w:ascii="Times New Roman" w:hAnsi="Times New Roman"/>
          <w:highlight w:val="none"/>
        </w:rPr>
        <w:t>本次评标采用经评审的最低投标价法。评标委员会对满足招标文件实质性要求的投标文件，根据本章第2.2款规定的评标价格调整方法进行必要的价格调整，并按照经评审的投标价由低到高的顺序推荐中</w:t>
      </w:r>
      <w:bookmarkStart w:id="165" w:name="_Toc369531586"/>
      <w:bookmarkStart w:id="166" w:name="_Toc152042385"/>
      <w:bookmarkStart w:id="167" w:name="_Toc300835017"/>
      <w:bookmarkStart w:id="168" w:name="_Toc361508655"/>
      <w:bookmarkStart w:id="169" w:name="_Toc144974575"/>
      <w:bookmarkStart w:id="170" w:name="_Toc152045607"/>
      <w:bookmarkStart w:id="171" w:name="_Toc384308281"/>
      <w:bookmarkStart w:id="172" w:name="_Toc30581"/>
      <w:bookmarkStart w:id="173" w:name="_Toc247527632"/>
      <w:bookmarkStart w:id="174" w:name="_Toc247514031"/>
      <w:bookmarkStart w:id="175" w:name="_Toc352691542"/>
      <w:r>
        <w:rPr>
          <w:rFonts w:ascii="Times New Roman" w:hAnsi="Times New Roman"/>
          <w:highlight w:val="none"/>
        </w:rPr>
        <w:t>标候选人</w:t>
      </w:r>
      <w:bookmarkEnd w:id="165"/>
      <w:bookmarkEnd w:id="166"/>
      <w:bookmarkEnd w:id="167"/>
      <w:bookmarkEnd w:id="168"/>
      <w:bookmarkEnd w:id="169"/>
      <w:bookmarkEnd w:id="170"/>
      <w:bookmarkEnd w:id="171"/>
      <w:bookmarkEnd w:id="172"/>
      <w:bookmarkEnd w:id="173"/>
      <w:bookmarkEnd w:id="174"/>
      <w:bookmarkEnd w:id="175"/>
      <w:r>
        <w:rPr>
          <w:rFonts w:ascii="Times New Roman" w:hAnsi="Times New Roman"/>
          <w:highlight w:val="none"/>
        </w:rPr>
        <w:t>。经评审的投标价相等时，投标报价低的优先；投标报价也相等的，按照评标办法前附表中的规定确定中标候选人顺序。</w:t>
      </w:r>
    </w:p>
    <w:p>
      <w:pPr>
        <w:pStyle w:val="4"/>
        <w:numPr>
          <w:ilvl w:val="0"/>
          <w:numId w:val="15"/>
        </w:numPr>
        <w:tabs>
          <w:tab w:val="left" w:pos="802"/>
        </w:tabs>
        <w:spacing w:before="44"/>
        <w:rPr>
          <w:sz w:val="26"/>
          <w:highlight w:val="none"/>
        </w:rPr>
      </w:pPr>
      <w:bookmarkStart w:id="176" w:name="_Toc1863"/>
      <w:r>
        <w:rPr>
          <w:highlight w:val="none"/>
        </w:rPr>
        <w:t>评审标准</w:t>
      </w:r>
      <w:bookmarkEnd w:id="164"/>
      <w:bookmarkEnd w:id="176"/>
    </w:p>
    <w:p>
      <w:pPr>
        <w:pStyle w:val="5"/>
        <w:numPr>
          <w:ilvl w:val="1"/>
          <w:numId w:val="15"/>
        </w:numPr>
        <w:tabs>
          <w:tab w:val="left" w:pos="1027"/>
        </w:tabs>
        <w:ind w:hanging="489"/>
        <w:rPr>
          <w:highlight w:val="none"/>
        </w:rPr>
      </w:pPr>
      <w:bookmarkStart w:id="177" w:name="_bookmark96"/>
      <w:bookmarkEnd w:id="177"/>
      <w:bookmarkStart w:id="178" w:name="_Toc14326"/>
      <w:r>
        <w:rPr>
          <w:spacing w:val="-1"/>
          <w:highlight w:val="none"/>
        </w:rPr>
        <w:t>初步评审标准</w:t>
      </w:r>
      <w:bookmarkEnd w:id="178"/>
    </w:p>
    <w:p>
      <w:pPr>
        <w:pStyle w:val="11"/>
        <w:spacing w:before="2"/>
        <w:rPr>
          <w:sz w:val="29"/>
          <w:highlight w:val="none"/>
        </w:rPr>
      </w:pPr>
    </w:p>
    <w:p>
      <w:pPr>
        <w:pStyle w:val="28"/>
        <w:numPr>
          <w:ilvl w:val="2"/>
          <w:numId w:val="15"/>
        </w:numPr>
        <w:tabs>
          <w:tab w:val="left" w:pos="1346"/>
        </w:tabs>
        <w:rPr>
          <w:sz w:val="21"/>
          <w:highlight w:val="none"/>
        </w:rPr>
      </w:pPr>
      <w:r>
        <w:rPr>
          <w:spacing w:val="-3"/>
          <w:sz w:val="21"/>
          <w:highlight w:val="none"/>
        </w:rPr>
        <w:t>形式评审标准：见评标办法前附表。</w:t>
      </w:r>
    </w:p>
    <w:p>
      <w:pPr>
        <w:pStyle w:val="28"/>
        <w:numPr>
          <w:ilvl w:val="2"/>
          <w:numId w:val="15"/>
        </w:numPr>
        <w:tabs>
          <w:tab w:val="left" w:pos="1346"/>
        </w:tabs>
        <w:spacing w:before="129"/>
        <w:rPr>
          <w:sz w:val="21"/>
          <w:highlight w:val="none"/>
        </w:rPr>
      </w:pPr>
      <w:r>
        <w:rPr>
          <w:spacing w:val="-3"/>
          <w:sz w:val="21"/>
          <w:highlight w:val="none"/>
        </w:rPr>
        <w:t>资格评审标准：见评标办法前附表。</w:t>
      </w:r>
    </w:p>
    <w:p>
      <w:pPr>
        <w:pStyle w:val="28"/>
        <w:numPr>
          <w:ilvl w:val="2"/>
          <w:numId w:val="15"/>
        </w:numPr>
        <w:tabs>
          <w:tab w:val="left" w:pos="1346"/>
        </w:tabs>
        <w:spacing w:before="132"/>
        <w:rPr>
          <w:sz w:val="21"/>
          <w:highlight w:val="none"/>
        </w:rPr>
      </w:pPr>
      <w:r>
        <w:rPr>
          <w:spacing w:val="-3"/>
          <w:sz w:val="21"/>
          <w:highlight w:val="none"/>
        </w:rPr>
        <w:t>响应性评审标准：见评标办法前附表。</w:t>
      </w:r>
    </w:p>
    <w:p>
      <w:pPr>
        <w:pStyle w:val="11"/>
        <w:spacing w:before="1"/>
        <w:rPr>
          <w:sz w:val="22"/>
          <w:highlight w:val="none"/>
        </w:rPr>
      </w:pPr>
    </w:p>
    <w:p>
      <w:pPr>
        <w:pStyle w:val="5"/>
        <w:numPr>
          <w:ilvl w:val="1"/>
          <w:numId w:val="15"/>
        </w:numPr>
        <w:tabs>
          <w:tab w:val="left" w:pos="1027"/>
        </w:tabs>
        <w:ind w:hanging="489"/>
        <w:rPr>
          <w:highlight w:val="none"/>
        </w:rPr>
      </w:pPr>
      <w:bookmarkStart w:id="179" w:name="_bookmark97"/>
      <w:bookmarkEnd w:id="179"/>
      <w:bookmarkStart w:id="180" w:name="_Toc31748"/>
      <w:r>
        <w:rPr>
          <w:spacing w:val="-1"/>
          <w:highlight w:val="none"/>
        </w:rPr>
        <w:t>详细评审标准</w:t>
      </w:r>
      <w:bookmarkEnd w:id="180"/>
    </w:p>
    <w:p>
      <w:pPr>
        <w:pStyle w:val="11"/>
        <w:spacing w:before="2"/>
        <w:rPr>
          <w:sz w:val="29"/>
          <w:highlight w:val="none"/>
        </w:rPr>
      </w:pPr>
    </w:p>
    <w:p>
      <w:pPr>
        <w:pStyle w:val="11"/>
        <w:ind w:left="820"/>
        <w:rPr>
          <w:highlight w:val="none"/>
        </w:rPr>
      </w:pPr>
      <w:r>
        <w:rPr>
          <w:highlight w:val="none"/>
        </w:rPr>
        <w:t>详细评审标准：见评标办法前附表。</w:t>
      </w:r>
    </w:p>
    <w:p>
      <w:pPr>
        <w:pStyle w:val="4"/>
        <w:numPr>
          <w:ilvl w:val="0"/>
          <w:numId w:val="15"/>
        </w:numPr>
        <w:tabs>
          <w:tab w:val="left" w:pos="802"/>
        </w:tabs>
        <w:spacing w:before="176"/>
        <w:rPr>
          <w:highlight w:val="none"/>
        </w:rPr>
      </w:pPr>
      <w:bookmarkStart w:id="181" w:name="_bookmark98"/>
      <w:bookmarkEnd w:id="181"/>
      <w:bookmarkStart w:id="182" w:name="_Toc24250"/>
      <w:bookmarkStart w:id="183" w:name="_Toc1446"/>
      <w:r>
        <w:rPr>
          <w:highlight w:val="none"/>
        </w:rPr>
        <w:t>评标程序</w:t>
      </w:r>
      <w:bookmarkEnd w:id="182"/>
      <w:bookmarkEnd w:id="183"/>
    </w:p>
    <w:p>
      <w:pPr>
        <w:pStyle w:val="11"/>
        <w:spacing w:before="12"/>
        <w:rPr>
          <w:rFonts w:ascii="Microsoft JhengHei"/>
          <w:b/>
          <w:sz w:val="26"/>
          <w:highlight w:val="none"/>
        </w:rPr>
      </w:pPr>
    </w:p>
    <w:p>
      <w:pPr>
        <w:pStyle w:val="5"/>
        <w:numPr>
          <w:ilvl w:val="1"/>
          <w:numId w:val="15"/>
        </w:numPr>
        <w:tabs>
          <w:tab w:val="left" w:pos="1027"/>
        </w:tabs>
        <w:ind w:hanging="489"/>
        <w:rPr>
          <w:highlight w:val="none"/>
        </w:rPr>
      </w:pPr>
      <w:bookmarkStart w:id="184" w:name="_bookmark99"/>
      <w:bookmarkEnd w:id="184"/>
      <w:bookmarkStart w:id="185" w:name="_Toc22119"/>
      <w:r>
        <w:rPr>
          <w:highlight w:val="none"/>
        </w:rPr>
        <w:t>初步评审</w:t>
      </w:r>
      <w:bookmarkEnd w:id="185"/>
    </w:p>
    <w:p>
      <w:pPr>
        <w:pStyle w:val="11"/>
        <w:rPr>
          <w:sz w:val="29"/>
          <w:highlight w:val="none"/>
        </w:rPr>
      </w:pPr>
    </w:p>
    <w:p>
      <w:pPr>
        <w:pStyle w:val="28"/>
        <w:numPr>
          <w:ilvl w:val="2"/>
          <w:numId w:val="15"/>
        </w:numPr>
        <w:tabs>
          <w:tab w:val="left" w:pos="1346"/>
        </w:tabs>
        <w:spacing w:before="1" w:line="357" w:lineRule="auto"/>
        <w:ind w:left="400" w:right="591" w:firstLine="420"/>
        <w:rPr>
          <w:sz w:val="21"/>
          <w:highlight w:val="none"/>
        </w:rPr>
      </w:pPr>
      <w:r>
        <w:rPr>
          <w:sz w:val="21"/>
          <w:highlight w:val="none"/>
        </w:rPr>
        <w:t>评标委员会可以要求投标人提交第二章</w:t>
      </w:r>
      <w:r>
        <w:rPr>
          <w:rFonts w:ascii="Times New Roman" w:hAnsi="Times New Roman" w:eastAsia="Times New Roman"/>
          <w:i/>
          <w:sz w:val="21"/>
          <w:highlight w:val="none"/>
        </w:rPr>
        <w:t>“</w:t>
      </w:r>
      <w:r>
        <w:rPr>
          <w:sz w:val="21"/>
          <w:highlight w:val="none"/>
        </w:rPr>
        <w:t>投标人须知</w:t>
      </w:r>
      <w:r>
        <w:rPr>
          <w:rFonts w:ascii="Times New Roman" w:hAnsi="Times New Roman" w:eastAsia="Times New Roman"/>
          <w:i/>
          <w:sz w:val="21"/>
          <w:highlight w:val="none"/>
        </w:rPr>
        <w:t>”</w:t>
      </w:r>
      <w:r>
        <w:rPr>
          <w:spacing w:val="-1"/>
          <w:sz w:val="21"/>
          <w:highlight w:val="none"/>
        </w:rPr>
        <w:t xml:space="preserve">规定的有关证明和证件的原件， </w:t>
      </w:r>
      <w:r>
        <w:rPr>
          <w:spacing w:val="-3"/>
          <w:sz w:val="21"/>
          <w:highlight w:val="none"/>
        </w:rPr>
        <w:t xml:space="preserve">以便核验。评标委员会依据本章第 </w:t>
      </w:r>
      <w:r>
        <w:rPr>
          <w:rFonts w:ascii="Times New Roman" w:hAnsi="Times New Roman" w:eastAsia="Times New Roman"/>
          <w:sz w:val="21"/>
          <w:highlight w:val="none"/>
        </w:rPr>
        <w:t xml:space="preserve">2.1 </w:t>
      </w:r>
      <w:r>
        <w:rPr>
          <w:spacing w:val="-3"/>
          <w:sz w:val="21"/>
          <w:highlight w:val="none"/>
        </w:rPr>
        <w:t>款规定的标准对投标文件进行初步评审。有一项不符合评审标准的，评标委员会应当否决其投标。</w:t>
      </w:r>
    </w:p>
    <w:p>
      <w:pPr>
        <w:pStyle w:val="28"/>
        <w:numPr>
          <w:ilvl w:val="2"/>
          <w:numId w:val="15"/>
        </w:numPr>
        <w:tabs>
          <w:tab w:val="left" w:pos="1346"/>
        </w:tabs>
        <w:spacing w:line="266" w:lineRule="exact"/>
        <w:rPr>
          <w:sz w:val="21"/>
          <w:highlight w:val="none"/>
        </w:rPr>
      </w:pPr>
      <w:r>
        <w:rPr>
          <w:spacing w:val="-3"/>
          <w:sz w:val="21"/>
          <w:highlight w:val="none"/>
        </w:rPr>
        <w:t>投标人有以下情形之一的，评标委员会应当否决其投标：</w:t>
      </w:r>
    </w:p>
    <w:p>
      <w:pPr>
        <w:pStyle w:val="28"/>
        <w:numPr>
          <w:ilvl w:val="0"/>
          <w:numId w:val="16"/>
        </w:numPr>
        <w:tabs>
          <w:tab w:val="left" w:pos="1353"/>
        </w:tabs>
        <w:spacing w:before="131" w:line="357" w:lineRule="auto"/>
        <w:ind w:right="695" w:firstLine="420"/>
        <w:rPr>
          <w:sz w:val="21"/>
          <w:highlight w:val="none"/>
        </w:rPr>
      </w:pPr>
      <w:r>
        <w:rPr>
          <w:sz w:val="21"/>
          <w:highlight w:val="none"/>
        </w:rPr>
        <w:t>投标文件没有对招标文件的实质性要求和条件作出响应</w:t>
      </w:r>
      <w:r>
        <w:rPr>
          <w:rFonts w:ascii="Times New Roman" w:eastAsia="Times New Roman"/>
          <w:sz w:val="21"/>
          <w:highlight w:val="none"/>
        </w:rPr>
        <w:t>.</w:t>
      </w:r>
      <w:r>
        <w:rPr>
          <w:spacing w:val="-2"/>
          <w:sz w:val="21"/>
          <w:highlight w:val="none"/>
        </w:rPr>
        <w:t>或者对招标文件的偏差超出</w:t>
      </w:r>
      <w:r>
        <w:rPr>
          <w:spacing w:val="-3"/>
          <w:sz w:val="21"/>
          <w:highlight w:val="none"/>
        </w:rPr>
        <w:t>招标文件规定的偏差范围或最高项数；</w:t>
      </w:r>
    </w:p>
    <w:p>
      <w:pPr>
        <w:pStyle w:val="28"/>
        <w:numPr>
          <w:ilvl w:val="0"/>
          <w:numId w:val="16"/>
        </w:numPr>
        <w:tabs>
          <w:tab w:val="left" w:pos="1350"/>
        </w:tabs>
        <w:spacing w:line="266" w:lineRule="exact"/>
        <w:ind w:left="1349" w:hanging="529"/>
        <w:rPr>
          <w:sz w:val="21"/>
          <w:highlight w:val="none"/>
        </w:rPr>
      </w:pPr>
      <w:r>
        <w:rPr>
          <w:spacing w:val="-3"/>
          <w:sz w:val="21"/>
          <w:highlight w:val="none"/>
        </w:rPr>
        <w:t>有串通投标、弄虚作假、行贿等违法行为。</w:t>
      </w:r>
    </w:p>
    <w:p>
      <w:pPr>
        <w:pStyle w:val="28"/>
        <w:numPr>
          <w:ilvl w:val="2"/>
          <w:numId w:val="15"/>
        </w:numPr>
        <w:tabs>
          <w:tab w:val="left" w:pos="1346"/>
        </w:tabs>
        <w:spacing w:before="132" w:line="357" w:lineRule="auto"/>
        <w:ind w:left="400" w:right="691" w:firstLine="420"/>
        <w:rPr>
          <w:sz w:val="21"/>
          <w:highlight w:val="none"/>
        </w:rPr>
      </w:pPr>
      <w:r>
        <w:rPr>
          <w:spacing w:val="-8"/>
          <w:sz w:val="21"/>
          <w:highlight w:val="none"/>
        </w:rPr>
        <w:t>投标报价有算术错误及其他错误的，评标委员会按以下原则要求投标人对投标报价进</w:t>
      </w:r>
      <w:r>
        <w:rPr>
          <w:spacing w:val="-5"/>
          <w:sz w:val="21"/>
          <w:highlight w:val="none"/>
        </w:rPr>
        <w:t>行修正，并要求投标人书面澄清确认。投标人拒不澄清确认的，评标委员会应当否决其投标：</w:t>
      </w:r>
    </w:p>
    <w:p>
      <w:pPr>
        <w:spacing w:line="357" w:lineRule="auto"/>
        <w:rPr>
          <w:sz w:val="21"/>
          <w:highlight w:val="none"/>
        </w:rPr>
        <w:sectPr>
          <w:pgSz w:w="12240" w:h="15840"/>
          <w:pgMar w:top="1400" w:right="1100" w:bottom="1040" w:left="1400" w:header="0" w:footer="841" w:gutter="0"/>
          <w:cols w:space="720" w:num="1"/>
        </w:sectPr>
      </w:pPr>
    </w:p>
    <w:p>
      <w:pPr>
        <w:pStyle w:val="28"/>
        <w:numPr>
          <w:ilvl w:val="0"/>
          <w:numId w:val="17"/>
        </w:numPr>
        <w:tabs>
          <w:tab w:val="left" w:pos="1350"/>
        </w:tabs>
        <w:spacing w:before="49"/>
        <w:rPr>
          <w:sz w:val="21"/>
          <w:highlight w:val="none"/>
        </w:rPr>
      </w:pPr>
      <w:r>
        <w:rPr>
          <w:spacing w:val="-3"/>
          <w:sz w:val="21"/>
          <w:highlight w:val="none"/>
        </w:rPr>
        <w:t>投标文件中的大写金额与小写金额不一致的，以大写金额为准；</w:t>
      </w:r>
    </w:p>
    <w:p>
      <w:pPr>
        <w:pStyle w:val="28"/>
        <w:numPr>
          <w:ilvl w:val="0"/>
          <w:numId w:val="17"/>
        </w:numPr>
        <w:tabs>
          <w:tab w:val="left" w:pos="1347"/>
        </w:tabs>
        <w:spacing w:before="132" w:line="355" w:lineRule="auto"/>
        <w:ind w:left="400" w:right="693" w:firstLine="420"/>
        <w:jc w:val="both"/>
        <w:rPr>
          <w:sz w:val="21"/>
          <w:highlight w:val="none"/>
        </w:rPr>
      </w:pPr>
      <w:r>
        <w:rPr>
          <w:spacing w:val="-6"/>
          <w:sz w:val="21"/>
          <w:highlight w:val="none"/>
        </w:rPr>
        <w:t>总价金额与单价金额不一致的，以单价金额为准，但单价金额小数点有明显错误的</w:t>
      </w:r>
      <w:r>
        <w:rPr>
          <w:sz w:val="21"/>
          <w:highlight w:val="none"/>
        </w:rPr>
        <w:t>除外；</w:t>
      </w:r>
    </w:p>
    <w:p>
      <w:pPr>
        <w:pStyle w:val="28"/>
        <w:numPr>
          <w:ilvl w:val="0"/>
          <w:numId w:val="17"/>
        </w:numPr>
        <w:tabs>
          <w:tab w:val="left" w:pos="1347"/>
        </w:tabs>
        <w:spacing w:before="3" w:line="357" w:lineRule="auto"/>
        <w:ind w:left="400" w:right="691" w:firstLine="420"/>
        <w:jc w:val="both"/>
        <w:rPr>
          <w:sz w:val="21"/>
          <w:highlight w:val="none"/>
        </w:rPr>
      </w:pPr>
      <w:r>
        <w:rPr>
          <w:spacing w:val="-6"/>
          <w:sz w:val="21"/>
          <w:highlight w:val="none"/>
        </w:rPr>
        <w:t>投标报价为各分项报价金额之和，投标报价与分项报价的合价不一致的，应以各分</w:t>
      </w:r>
      <w:r>
        <w:rPr>
          <w:spacing w:val="-5"/>
          <w:sz w:val="21"/>
          <w:highlight w:val="none"/>
        </w:rPr>
        <w:t>项合价累计数为准，修正投标报价；</w:t>
      </w:r>
    </w:p>
    <w:p>
      <w:pPr>
        <w:pStyle w:val="28"/>
        <w:numPr>
          <w:ilvl w:val="0"/>
          <w:numId w:val="17"/>
        </w:numPr>
        <w:tabs>
          <w:tab w:val="left" w:pos="1350"/>
        </w:tabs>
        <w:spacing w:line="266" w:lineRule="exact"/>
        <w:rPr>
          <w:sz w:val="21"/>
          <w:highlight w:val="none"/>
        </w:rPr>
      </w:pPr>
      <w:r>
        <w:rPr>
          <w:spacing w:val="-3"/>
          <w:sz w:val="21"/>
          <w:highlight w:val="none"/>
        </w:rPr>
        <w:t>如果分项报价中存在缺漏项，则视为缺漏项价格已包含在其他分项报价之中。</w:t>
      </w:r>
    </w:p>
    <w:p>
      <w:pPr>
        <w:pStyle w:val="11"/>
        <w:rPr>
          <w:sz w:val="22"/>
          <w:highlight w:val="none"/>
        </w:rPr>
      </w:pPr>
    </w:p>
    <w:p>
      <w:pPr>
        <w:pStyle w:val="5"/>
        <w:numPr>
          <w:ilvl w:val="1"/>
          <w:numId w:val="15"/>
        </w:numPr>
        <w:tabs>
          <w:tab w:val="left" w:pos="1027"/>
        </w:tabs>
        <w:ind w:hanging="489"/>
        <w:rPr>
          <w:highlight w:val="none"/>
        </w:rPr>
      </w:pPr>
      <w:bookmarkStart w:id="186" w:name="_bookmark100"/>
      <w:bookmarkEnd w:id="186"/>
      <w:bookmarkStart w:id="187" w:name="_Toc19107"/>
      <w:r>
        <w:rPr>
          <w:highlight w:val="none"/>
        </w:rPr>
        <w:t>详细评审</w:t>
      </w:r>
      <w:bookmarkEnd w:id="187"/>
    </w:p>
    <w:p>
      <w:pPr>
        <w:pStyle w:val="11"/>
        <w:spacing w:before="3"/>
        <w:rPr>
          <w:sz w:val="29"/>
          <w:highlight w:val="none"/>
        </w:rPr>
      </w:pPr>
    </w:p>
    <w:p>
      <w:pPr>
        <w:pStyle w:val="28"/>
        <w:numPr>
          <w:ilvl w:val="2"/>
          <w:numId w:val="15"/>
        </w:numPr>
        <w:tabs>
          <w:tab w:val="left" w:pos="1346"/>
        </w:tabs>
        <w:spacing w:line="357" w:lineRule="auto"/>
        <w:ind w:left="400" w:right="691" w:firstLine="420"/>
        <w:jc w:val="both"/>
        <w:rPr>
          <w:sz w:val="21"/>
          <w:highlight w:val="none"/>
        </w:rPr>
      </w:pPr>
      <w:r>
        <w:rPr>
          <w:spacing w:val="-8"/>
          <w:sz w:val="21"/>
          <w:highlight w:val="none"/>
        </w:rPr>
        <w:t xml:space="preserve">评标委员会按本章第 </w:t>
      </w:r>
      <w:r>
        <w:rPr>
          <w:rFonts w:ascii="Times New Roman" w:hAnsi="Times New Roman" w:eastAsia="Times New Roman"/>
          <w:sz w:val="21"/>
          <w:highlight w:val="none"/>
        </w:rPr>
        <w:t>2.2</w:t>
      </w:r>
      <w:r>
        <w:rPr>
          <w:rFonts w:ascii="Times New Roman" w:hAnsi="Times New Roman" w:eastAsia="Times New Roman"/>
          <w:spacing w:val="2"/>
          <w:sz w:val="21"/>
          <w:highlight w:val="none"/>
        </w:rPr>
        <w:t xml:space="preserve"> </w:t>
      </w:r>
      <w:r>
        <w:rPr>
          <w:spacing w:val="-8"/>
          <w:sz w:val="21"/>
          <w:highlight w:val="none"/>
        </w:rPr>
        <w:t>款规定的评标价格调整方法进行必要的价格调整，并编制</w:t>
      </w:r>
      <w:r>
        <w:rPr>
          <w:rFonts w:ascii="Times New Roman" w:hAnsi="Times New Roman" w:eastAsia="Times New Roman"/>
          <w:i/>
          <w:sz w:val="21"/>
          <w:highlight w:val="none"/>
        </w:rPr>
        <w:t>“</w:t>
      </w:r>
      <w:r>
        <w:rPr>
          <w:sz w:val="21"/>
          <w:highlight w:val="none"/>
        </w:rPr>
        <w:t>标</w:t>
      </w:r>
      <w:r>
        <w:rPr>
          <w:spacing w:val="-1"/>
          <w:sz w:val="21"/>
          <w:highlight w:val="none"/>
        </w:rPr>
        <w:t>价比较表</w:t>
      </w:r>
      <w:r>
        <w:rPr>
          <w:rFonts w:ascii="Times New Roman" w:hAnsi="Times New Roman" w:eastAsia="Times New Roman"/>
          <w:i/>
          <w:spacing w:val="-3"/>
          <w:sz w:val="21"/>
          <w:highlight w:val="none"/>
        </w:rPr>
        <w:t>”</w:t>
      </w:r>
      <w:r>
        <w:rPr>
          <w:sz w:val="21"/>
          <w:highlight w:val="none"/>
        </w:rPr>
        <w:t>。</w:t>
      </w:r>
    </w:p>
    <w:p>
      <w:pPr>
        <w:pStyle w:val="28"/>
        <w:numPr>
          <w:ilvl w:val="2"/>
          <w:numId w:val="15"/>
        </w:numPr>
        <w:tabs>
          <w:tab w:val="left" w:pos="1346"/>
        </w:tabs>
        <w:spacing w:line="357" w:lineRule="auto"/>
        <w:ind w:left="400" w:right="691" w:firstLine="420"/>
        <w:jc w:val="both"/>
        <w:rPr>
          <w:sz w:val="21"/>
          <w:highlight w:val="none"/>
        </w:rPr>
      </w:pPr>
      <w:r>
        <w:rPr>
          <w:spacing w:val="-7"/>
          <w:sz w:val="21"/>
          <w:highlight w:val="none"/>
        </w:rPr>
        <w:t>评标委员会发现投标人的报价明显低于其他投标报价，使得其投标报价可能低于其成本的，应当要求该投标人作出书面说明并提供相应的证明材料。投标人不能合理说明或者不能</w:t>
      </w:r>
      <w:r>
        <w:rPr>
          <w:spacing w:val="-5"/>
          <w:sz w:val="21"/>
          <w:highlight w:val="none"/>
        </w:rPr>
        <w:t>提供相应证明材料的，由评标委员会认定该投标人以低于成本报价竞标，并否决其投标。</w:t>
      </w:r>
    </w:p>
    <w:p>
      <w:pPr>
        <w:pStyle w:val="5"/>
        <w:numPr>
          <w:ilvl w:val="1"/>
          <w:numId w:val="15"/>
        </w:numPr>
        <w:tabs>
          <w:tab w:val="left" w:pos="1027"/>
        </w:tabs>
        <w:spacing w:before="146"/>
        <w:ind w:hanging="489"/>
        <w:rPr>
          <w:highlight w:val="none"/>
        </w:rPr>
      </w:pPr>
      <w:bookmarkStart w:id="188" w:name="_bookmark101"/>
      <w:bookmarkEnd w:id="188"/>
      <w:bookmarkStart w:id="189" w:name="_Toc27670"/>
      <w:r>
        <w:rPr>
          <w:spacing w:val="-1"/>
          <w:highlight w:val="none"/>
        </w:rPr>
        <w:t>投标文件的澄清</w:t>
      </w:r>
      <w:bookmarkEnd w:id="189"/>
    </w:p>
    <w:p>
      <w:pPr>
        <w:pStyle w:val="11"/>
        <w:spacing w:before="2"/>
        <w:rPr>
          <w:sz w:val="29"/>
          <w:highlight w:val="none"/>
        </w:rPr>
      </w:pPr>
    </w:p>
    <w:p>
      <w:pPr>
        <w:pStyle w:val="28"/>
        <w:numPr>
          <w:ilvl w:val="2"/>
          <w:numId w:val="15"/>
        </w:numPr>
        <w:tabs>
          <w:tab w:val="left" w:pos="1346"/>
        </w:tabs>
        <w:spacing w:line="357" w:lineRule="auto"/>
        <w:ind w:left="400" w:right="691" w:firstLine="420"/>
        <w:jc w:val="both"/>
        <w:rPr>
          <w:sz w:val="21"/>
          <w:highlight w:val="none"/>
        </w:rPr>
      </w:pPr>
      <w:r>
        <w:rPr>
          <w:spacing w:val="-9"/>
          <w:sz w:val="21"/>
          <w:highlight w:val="none"/>
        </w:rPr>
        <w:t>在评标过程中，评标委员会可以书面形式要求投标人对投标文件中含义不明确、对同</w:t>
      </w:r>
      <w:r>
        <w:rPr>
          <w:spacing w:val="-8"/>
          <w:sz w:val="21"/>
          <w:highlight w:val="none"/>
        </w:rPr>
        <w:t>类问题表述不一致或者有明显文字和计算错误的内容作必要的澄清、说明或补正。澄清、说明</w:t>
      </w:r>
      <w:r>
        <w:rPr>
          <w:spacing w:val="-5"/>
          <w:sz w:val="21"/>
          <w:highlight w:val="none"/>
        </w:rPr>
        <w:t>或补正应以书面方式进行。评标委员会不接受投标人主动提出的澄清、说明或补正。</w:t>
      </w:r>
    </w:p>
    <w:p>
      <w:pPr>
        <w:pStyle w:val="28"/>
        <w:numPr>
          <w:ilvl w:val="2"/>
          <w:numId w:val="15"/>
        </w:numPr>
        <w:tabs>
          <w:tab w:val="left" w:pos="1346"/>
        </w:tabs>
        <w:spacing w:line="357" w:lineRule="auto"/>
        <w:ind w:left="400" w:right="691" w:firstLine="420"/>
        <w:jc w:val="both"/>
        <w:rPr>
          <w:sz w:val="21"/>
          <w:highlight w:val="none"/>
        </w:rPr>
      </w:pPr>
      <w:r>
        <w:rPr>
          <w:spacing w:val="-9"/>
          <w:sz w:val="21"/>
          <w:highlight w:val="none"/>
        </w:rPr>
        <w:t>澄清、说明或补正不得超出投标文件的范围且不得改变投标文件的实质性内容，并构</w:t>
      </w:r>
      <w:r>
        <w:rPr>
          <w:spacing w:val="-5"/>
          <w:sz w:val="21"/>
          <w:highlight w:val="none"/>
        </w:rPr>
        <w:t>成投标文件的组成部分。</w:t>
      </w:r>
    </w:p>
    <w:p>
      <w:pPr>
        <w:pStyle w:val="28"/>
        <w:numPr>
          <w:ilvl w:val="2"/>
          <w:numId w:val="15"/>
        </w:numPr>
        <w:tabs>
          <w:tab w:val="left" w:pos="1346"/>
        </w:tabs>
        <w:spacing w:line="355" w:lineRule="auto"/>
        <w:ind w:left="400" w:right="586" w:firstLine="420"/>
        <w:rPr>
          <w:sz w:val="21"/>
          <w:highlight w:val="none"/>
        </w:rPr>
      </w:pPr>
      <w:r>
        <w:rPr>
          <w:spacing w:val="-14"/>
          <w:sz w:val="21"/>
          <w:highlight w:val="none"/>
        </w:rPr>
        <w:t>评标委员会对投标人提交的澄清、说明或补正有疑问的，可以要求投标人进一步澄清、</w:t>
      </w:r>
      <w:r>
        <w:rPr>
          <w:spacing w:val="-7"/>
          <w:sz w:val="21"/>
          <w:highlight w:val="none"/>
        </w:rPr>
        <w:t>说明或补正，直至满足评标委员会的要求。</w:t>
      </w:r>
    </w:p>
    <w:p>
      <w:pPr>
        <w:pStyle w:val="5"/>
        <w:numPr>
          <w:ilvl w:val="1"/>
          <w:numId w:val="15"/>
        </w:numPr>
        <w:tabs>
          <w:tab w:val="left" w:pos="1027"/>
        </w:tabs>
        <w:spacing w:before="151"/>
        <w:ind w:hanging="489"/>
        <w:rPr>
          <w:highlight w:val="none"/>
        </w:rPr>
      </w:pPr>
      <w:bookmarkStart w:id="190" w:name="_bookmark102"/>
      <w:bookmarkEnd w:id="190"/>
      <w:bookmarkStart w:id="191" w:name="_Toc7547"/>
      <w:r>
        <w:rPr>
          <w:highlight w:val="none"/>
        </w:rPr>
        <w:t>评标结果</w:t>
      </w:r>
      <w:bookmarkEnd w:id="191"/>
    </w:p>
    <w:p>
      <w:pPr>
        <w:pStyle w:val="28"/>
        <w:numPr>
          <w:ilvl w:val="2"/>
          <w:numId w:val="15"/>
        </w:numPr>
        <w:tabs>
          <w:tab w:val="left" w:pos="1243"/>
        </w:tabs>
        <w:spacing w:before="266" w:line="364" w:lineRule="auto"/>
        <w:ind w:left="400" w:right="695" w:firstLine="317"/>
        <w:rPr>
          <w:sz w:val="21"/>
          <w:highlight w:val="none"/>
        </w:rPr>
      </w:pPr>
      <w:r>
        <w:rPr>
          <w:sz w:val="21"/>
          <w:highlight w:val="none"/>
        </w:rPr>
        <w:t>除第二章</w:t>
      </w:r>
      <w:r>
        <w:rPr>
          <w:rFonts w:ascii="Times New Roman" w:hAnsi="Times New Roman" w:eastAsia="Times New Roman"/>
          <w:i/>
          <w:sz w:val="21"/>
          <w:highlight w:val="none"/>
        </w:rPr>
        <w:t>“</w:t>
      </w:r>
      <w:r>
        <w:rPr>
          <w:sz w:val="21"/>
          <w:highlight w:val="none"/>
        </w:rPr>
        <w:t>投标人须知</w:t>
      </w:r>
      <w:r>
        <w:rPr>
          <w:rFonts w:ascii="Times New Roman" w:hAnsi="Times New Roman" w:eastAsia="Times New Roman"/>
          <w:i/>
          <w:sz w:val="21"/>
          <w:highlight w:val="none"/>
        </w:rPr>
        <w:t>”</w:t>
      </w:r>
      <w:r>
        <w:rPr>
          <w:spacing w:val="-1"/>
          <w:sz w:val="21"/>
          <w:highlight w:val="none"/>
        </w:rPr>
        <w:t>前附表授权直接确定中标人外，评标委员会按照经评审的价格</w:t>
      </w:r>
      <w:r>
        <w:rPr>
          <w:spacing w:val="-3"/>
          <w:sz w:val="21"/>
          <w:highlight w:val="none"/>
        </w:rPr>
        <w:t>由低到高的顺序推荐中标候选人，并标明排序。</w:t>
      </w:r>
    </w:p>
    <w:p>
      <w:pPr>
        <w:pStyle w:val="28"/>
        <w:numPr>
          <w:ilvl w:val="2"/>
          <w:numId w:val="15"/>
        </w:numPr>
        <w:tabs>
          <w:tab w:val="left" w:pos="1243"/>
        </w:tabs>
        <w:spacing w:before="106"/>
        <w:ind w:left="1242" w:hanging="525"/>
        <w:rPr>
          <w:sz w:val="21"/>
          <w:highlight w:val="none"/>
        </w:rPr>
        <w:sectPr>
          <w:pgSz w:w="12240" w:h="15840"/>
          <w:pgMar w:top="1500" w:right="1100" w:bottom="1120" w:left="1400" w:header="0" w:footer="841" w:gutter="0"/>
          <w:cols w:space="720" w:num="1"/>
        </w:sectPr>
      </w:pPr>
      <w:r>
        <w:rPr>
          <w:spacing w:val="-3"/>
          <w:sz w:val="21"/>
          <w:highlight w:val="none"/>
        </w:rPr>
        <w:t>评标委员会完成评标后，应当向招标人提交书面评标报告和中标候选人名单。</w:t>
      </w:r>
    </w:p>
    <w:p>
      <w:pPr>
        <w:pStyle w:val="3"/>
        <w:jc w:val="center"/>
        <w:rPr>
          <w:highlight w:val="none"/>
        </w:rPr>
      </w:pPr>
      <w:bookmarkStart w:id="192" w:name="_bookmark103"/>
      <w:bookmarkEnd w:id="192"/>
      <w:bookmarkStart w:id="193" w:name="_Toc28960"/>
      <w:bookmarkStart w:id="194" w:name="_Toc22404"/>
      <w:bookmarkStart w:id="195" w:name="_Toc18339"/>
      <w:r>
        <w:rPr>
          <w:rFonts w:hint="eastAsia" w:ascii="宋体" w:hAnsi="宋体" w:eastAsia="宋体" w:cs="宋体"/>
          <w:highlight w:val="none"/>
        </w:rPr>
        <w:t>第四章合同条款及格式</w:t>
      </w:r>
      <w:bookmarkEnd w:id="193"/>
      <w:bookmarkEnd w:id="194"/>
      <w:bookmarkEnd w:id="195"/>
    </w:p>
    <w:p>
      <w:pPr>
        <w:keepNext w:val="0"/>
        <w:keepLines w:val="0"/>
        <w:pageBreakBefore w:val="0"/>
        <w:widowControl w:val="0"/>
        <w:kinsoku/>
        <w:wordWrap/>
        <w:overflowPunct/>
        <w:topLinePunct w:val="0"/>
        <w:autoSpaceDE/>
        <w:autoSpaceDN/>
        <w:bidi w:val="0"/>
        <w:spacing w:line="500" w:lineRule="exact"/>
        <w:ind w:left="0" w:leftChars="0" w:right="0" w:rightChars="0"/>
        <w:jc w:val="both"/>
        <w:textAlignment w:val="auto"/>
        <w:outlineLvl w:val="9"/>
        <w:rPr>
          <w:rFonts w:hint="eastAsia" w:ascii="仿宋" w:hAnsi="仿宋" w:eastAsia="仿宋" w:cs="仿宋"/>
          <w:b/>
          <w:sz w:val="28"/>
          <w:szCs w:val="28"/>
          <w:highlight w:val="none"/>
        </w:rPr>
      </w:pPr>
    </w:p>
    <w:p>
      <w:pPr>
        <w:keepNext w:val="0"/>
        <w:keepLines w:val="0"/>
        <w:pageBreakBefore w:val="0"/>
        <w:widowControl w:val="0"/>
        <w:kinsoku/>
        <w:wordWrap/>
        <w:overflowPunct/>
        <w:topLinePunct w:val="0"/>
        <w:autoSpaceDE/>
        <w:autoSpaceDN/>
        <w:bidi w:val="0"/>
        <w:spacing w:line="500" w:lineRule="exact"/>
        <w:ind w:left="0" w:leftChars="0" w:right="0" w:rightChars="0"/>
        <w:jc w:val="center"/>
        <w:textAlignment w:val="auto"/>
        <w:outlineLvl w:val="9"/>
        <w:rPr>
          <w:rFonts w:hint="eastAsia" w:ascii="仿宋" w:hAnsi="仿宋" w:eastAsia="仿宋" w:cs="仿宋"/>
          <w:b/>
          <w:sz w:val="44"/>
          <w:szCs w:val="44"/>
          <w:highlight w:val="none"/>
        </w:rPr>
      </w:pPr>
    </w:p>
    <w:p>
      <w:pPr>
        <w:keepNext w:val="0"/>
        <w:keepLines w:val="0"/>
        <w:pageBreakBefore w:val="0"/>
        <w:widowControl w:val="0"/>
        <w:kinsoku/>
        <w:wordWrap/>
        <w:overflowPunct/>
        <w:topLinePunct w:val="0"/>
        <w:autoSpaceDE/>
        <w:autoSpaceDN/>
        <w:bidi w:val="0"/>
        <w:spacing w:line="500" w:lineRule="exact"/>
        <w:ind w:left="0" w:leftChars="0" w:right="0" w:rightChars="0"/>
        <w:jc w:val="center"/>
        <w:textAlignment w:val="auto"/>
        <w:outlineLvl w:val="9"/>
        <w:rPr>
          <w:rFonts w:hint="eastAsia" w:ascii="仿宋" w:hAnsi="仿宋" w:eastAsia="仿宋" w:cs="仿宋"/>
          <w:b/>
          <w:sz w:val="44"/>
          <w:szCs w:val="44"/>
          <w:highlight w:val="none"/>
        </w:rPr>
      </w:pPr>
    </w:p>
    <w:p>
      <w:pPr>
        <w:keepNext w:val="0"/>
        <w:keepLines w:val="0"/>
        <w:pageBreakBefore w:val="0"/>
        <w:widowControl w:val="0"/>
        <w:kinsoku/>
        <w:wordWrap/>
        <w:overflowPunct/>
        <w:topLinePunct w:val="0"/>
        <w:autoSpaceDE/>
        <w:autoSpaceDN/>
        <w:bidi w:val="0"/>
        <w:spacing w:line="500" w:lineRule="exact"/>
        <w:ind w:left="0" w:leftChars="0" w:right="0" w:rightChars="0"/>
        <w:jc w:val="center"/>
        <w:textAlignment w:val="auto"/>
        <w:outlineLvl w:val="9"/>
        <w:rPr>
          <w:rFonts w:hint="eastAsia" w:ascii="仿宋" w:hAnsi="仿宋" w:eastAsia="仿宋" w:cs="仿宋"/>
          <w:sz w:val="28"/>
          <w:szCs w:val="28"/>
          <w:highlight w:val="none"/>
        </w:rPr>
      </w:pPr>
      <w:r>
        <w:rPr>
          <w:rFonts w:hint="eastAsia" w:ascii="仿宋" w:hAnsi="仿宋" w:eastAsia="仿宋" w:cs="仿宋"/>
          <w:b/>
          <w:sz w:val="44"/>
          <w:szCs w:val="44"/>
          <w:highlight w:val="none"/>
        </w:rPr>
        <w:t>贵州交投商贸物流有限公司</w:t>
      </w:r>
    </w:p>
    <w:p>
      <w:pPr>
        <w:keepNext w:val="0"/>
        <w:keepLines w:val="0"/>
        <w:pageBreakBefore w:val="0"/>
        <w:widowControl w:val="0"/>
        <w:kinsoku/>
        <w:wordWrap/>
        <w:overflowPunct/>
        <w:topLinePunct w:val="0"/>
        <w:autoSpaceDE/>
        <w:autoSpaceDN/>
        <w:bidi w:val="0"/>
        <w:spacing w:line="500" w:lineRule="exact"/>
        <w:ind w:left="0" w:leftChars="0" w:right="0" w:rightChars="0"/>
        <w:jc w:val="center"/>
        <w:textAlignment w:val="auto"/>
        <w:outlineLvl w:val="9"/>
        <w:rPr>
          <w:rFonts w:hint="eastAsia" w:ascii="仿宋" w:hAnsi="仿宋" w:eastAsia="仿宋" w:cs="仿宋"/>
          <w:sz w:val="28"/>
          <w:szCs w:val="28"/>
          <w:highlight w:val="none"/>
        </w:rPr>
      </w:pPr>
    </w:p>
    <w:p>
      <w:pPr>
        <w:keepNext w:val="0"/>
        <w:keepLines w:val="0"/>
        <w:pageBreakBefore w:val="0"/>
        <w:widowControl w:val="0"/>
        <w:kinsoku/>
        <w:wordWrap/>
        <w:overflowPunct/>
        <w:topLinePunct w:val="0"/>
        <w:autoSpaceDE/>
        <w:autoSpaceDN/>
        <w:bidi w:val="0"/>
        <w:spacing w:line="500" w:lineRule="exact"/>
        <w:ind w:left="0" w:leftChars="0" w:right="0" w:rightChars="0"/>
        <w:jc w:val="center"/>
        <w:textAlignment w:val="auto"/>
        <w:outlineLvl w:val="9"/>
        <w:rPr>
          <w:rFonts w:hint="eastAsia" w:ascii="仿宋" w:hAnsi="仿宋" w:eastAsia="仿宋" w:cs="仿宋"/>
          <w:b/>
          <w:sz w:val="28"/>
          <w:szCs w:val="28"/>
          <w:highlight w:val="none"/>
        </w:rPr>
      </w:pPr>
    </w:p>
    <w:p>
      <w:pPr>
        <w:keepNext w:val="0"/>
        <w:keepLines w:val="0"/>
        <w:pageBreakBefore w:val="0"/>
        <w:widowControl w:val="0"/>
        <w:kinsoku/>
        <w:wordWrap/>
        <w:overflowPunct/>
        <w:topLinePunct w:val="0"/>
        <w:autoSpaceDE/>
        <w:autoSpaceDN/>
        <w:bidi w:val="0"/>
        <w:spacing w:line="500" w:lineRule="exact"/>
        <w:ind w:left="0" w:leftChars="0" w:right="0" w:rightChars="0"/>
        <w:jc w:val="center"/>
        <w:textAlignment w:val="auto"/>
        <w:outlineLvl w:val="9"/>
        <w:rPr>
          <w:rFonts w:hint="eastAsia" w:ascii="仿宋" w:hAnsi="仿宋" w:eastAsia="仿宋" w:cs="仿宋"/>
          <w:b/>
          <w:sz w:val="28"/>
          <w:szCs w:val="28"/>
          <w:highlight w:val="none"/>
        </w:rPr>
      </w:pPr>
      <w:r>
        <w:rPr>
          <w:rFonts w:hint="eastAsia" w:ascii="仿宋" w:hAnsi="仿宋" w:eastAsia="仿宋" w:cs="仿宋"/>
          <w:b/>
          <w:bCs w:val="0"/>
          <w:sz w:val="52"/>
          <w:szCs w:val="52"/>
          <w:highlight w:val="none"/>
          <w:lang w:val="en-US" w:eastAsia="zh-CN"/>
        </w:rPr>
        <w:t>服务</w:t>
      </w:r>
      <w:r>
        <w:rPr>
          <w:rFonts w:hint="eastAsia" w:ascii="仿宋" w:hAnsi="仿宋" w:eastAsia="仿宋" w:cs="仿宋"/>
          <w:b/>
          <w:bCs w:val="0"/>
          <w:sz w:val="52"/>
          <w:szCs w:val="52"/>
          <w:highlight w:val="none"/>
        </w:rPr>
        <w:t>(</w:t>
      </w:r>
      <w:r>
        <w:rPr>
          <w:rFonts w:hint="eastAsia" w:ascii="仿宋" w:hAnsi="仿宋" w:eastAsia="仿宋" w:cs="仿宋"/>
          <w:b/>
          <w:bCs w:val="0"/>
          <w:sz w:val="52"/>
          <w:szCs w:val="52"/>
          <w:highlight w:val="none"/>
          <w:u w:val="single"/>
          <w:lang w:val="en-US" w:eastAsia="zh-CN"/>
        </w:rPr>
        <w:t>钢材运输</w:t>
      </w:r>
      <w:r>
        <w:rPr>
          <w:rFonts w:hint="eastAsia" w:ascii="仿宋" w:hAnsi="仿宋" w:eastAsia="仿宋" w:cs="仿宋"/>
          <w:b/>
          <w:bCs w:val="0"/>
          <w:sz w:val="52"/>
          <w:szCs w:val="52"/>
          <w:highlight w:val="none"/>
        </w:rPr>
        <w:t>)</w:t>
      </w:r>
      <w:r>
        <w:rPr>
          <w:rFonts w:hint="eastAsia" w:ascii="仿宋" w:hAnsi="仿宋" w:eastAsia="仿宋" w:cs="仿宋"/>
          <w:b/>
          <w:bCs w:val="0"/>
          <w:sz w:val="52"/>
          <w:szCs w:val="52"/>
          <w:highlight w:val="none"/>
          <w:lang w:val="en-US" w:eastAsia="zh-CN"/>
        </w:rPr>
        <w:t>采购</w:t>
      </w:r>
      <w:r>
        <w:rPr>
          <w:rFonts w:hint="eastAsia" w:ascii="仿宋" w:hAnsi="仿宋" w:eastAsia="仿宋" w:cs="仿宋"/>
          <w:b/>
          <w:bCs w:val="0"/>
          <w:sz w:val="52"/>
          <w:szCs w:val="52"/>
          <w:highlight w:val="none"/>
        </w:rPr>
        <w:t>合同</w:t>
      </w:r>
    </w:p>
    <w:p>
      <w:pPr>
        <w:keepNext w:val="0"/>
        <w:keepLines w:val="0"/>
        <w:pageBreakBefore w:val="0"/>
        <w:widowControl w:val="0"/>
        <w:kinsoku/>
        <w:wordWrap/>
        <w:overflowPunct/>
        <w:topLinePunct w:val="0"/>
        <w:autoSpaceDE/>
        <w:autoSpaceDN/>
        <w:bidi w:val="0"/>
        <w:spacing w:line="500" w:lineRule="exact"/>
        <w:ind w:left="0" w:leftChars="0" w:right="0" w:rightChars="0"/>
        <w:jc w:val="center"/>
        <w:textAlignment w:val="auto"/>
        <w:outlineLvl w:val="9"/>
        <w:rPr>
          <w:rFonts w:hint="eastAsia" w:ascii="仿宋" w:hAnsi="仿宋" w:eastAsia="仿宋" w:cs="仿宋"/>
          <w:b/>
          <w:sz w:val="28"/>
          <w:szCs w:val="28"/>
          <w:highlight w:val="none"/>
        </w:rPr>
      </w:pPr>
    </w:p>
    <w:p>
      <w:pPr>
        <w:keepNext w:val="0"/>
        <w:keepLines w:val="0"/>
        <w:pageBreakBefore w:val="0"/>
        <w:widowControl w:val="0"/>
        <w:kinsoku/>
        <w:wordWrap/>
        <w:overflowPunct/>
        <w:topLinePunct w:val="0"/>
        <w:autoSpaceDE/>
        <w:autoSpaceDN/>
        <w:bidi w:val="0"/>
        <w:spacing w:line="500" w:lineRule="exact"/>
        <w:ind w:left="0" w:leftChars="0" w:right="0" w:rightChars="0"/>
        <w:textAlignment w:val="auto"/>
        <w:outlineLvl w:val="9"/>
        <w:rPr>
          <w:rFonts w:hint="eastAsia" w:ascii="仿宋" w:hAnsi="仿宋" w:eastAsia="仿宋" w:cs="仿宋"/>
          <w:b/>
          <w:sz w:val="28"/>
          <w:szCs w:val="28"/>
          <w:highlight w:val="none"/>
        </w:rPr>
      </w:pPr>
      <w:r>
        <w:rPr>
          <w:rFonts w:hint="eastAsia" w:ascii="仿宋" w:hAnsi="仿宋" w:eastAsia="仿宋" w:cs="仿宋"/>
          <w:b/>
          <w:sz w:val="28"/>
          <w:szCs w:val="28"/>
          <w:highlight w:val="none"/>
        </w:rPr>
        <w:t xml:space="preserve">                     </w:t>
      </w:r>
    </w:p>
    <w:p>
      <w:pPr>
        <w:keepNext w:val="0"/>
        <w:keepLines w:val="0"/>
        <w:pageBreakBefore w:val="0"/>
        <w:widowControl w:val="0"/>
        <w:kinsoku/>
        <w:wordWrap/>
        <w:overflowPunct/>
        <w:topLinePunct w:val="0"/>
        <w:autoSpaceDE/>
        <w:autoSpaceDN/>
        <w:bidi w:val="0"/>
        <w:spacing w:line="500" w:lineRule="exact"/>
        <w:ind w:left="0" w:leftChars="0" w:right="0" w:rightChars="0"/>
        <w:textAlignment w:val="auto"/>
        <w:outlineLvl w:val="9"/>
        <w:rPr>
          <w:rFonts w:hint="eastAsia" w:ascii="仿宋" w:hAnsi="仿宋" w:eastAsia="仿宋" w:cs="仿宋"/>
          <w:b/>
          <w:sz w:val="28"/>
          <w:szCs w:val="28"/>
          <w:highlight w:val="none"/>
        </w:rPr>
      </w:pPr>
    </w:p>
    <w:p>
      <w:pPr>
        <w:keepNext w:val="0"/>
        <w:keepLines w:val="0"/>
        <w:pageBreakBefore w:val="0"/>
        <w:widowControl w:val="0"/>
        <w:kinsoku/>
        <w:wordWrap/>
        <w:overflowPunct/>
        <w:topLinePunct w:val="0"/>
        <w:autoSpaceDE/>
        <w:autoSpaceDN/>
        <w:bidi w:val="0"/>
        <w:spacing w:line="500" w:lineRule="exact"/>
        <w:ind w:left="0" w:leftChars="0" w:right="0" w:rightChars="0"/>
        <w:textAlignment w:val="auto"/>
        <w:outlineLvl w:val="9"/>
        <w:rPr>
          <w:rFonts w:hint="eastAsia" w:ascii="仿宋" w:hAnsi="仿宋" w:eastAsia="仿宋" w:cs="仿宋"/>
          <w:b/>
          <w:sz w:val="28"/>
          <w:szCs w:val="28"/>
          <w:highlight w:val="none"/>
        </w:rPr>
      </w:pPr>
    </w:p>
    <w:p>
      <w:pPr>
        <w:keepNext w:val="0"/>
        <w:keepLines w:val="0"/>
        <w:pageBreakBefore w:val="0"/>
        <w:widowControl w:val="0"/>
        <w:kinsoku/>
        <w:wordWrap/>
        <w:overflowPunct/>
        <w:topLinePunct w:val="0"/>
        <w:autoSpaceDE/>
        <w:autoSpaceDN/>
        <w:bidi w:val="0"/>
        <w:spacing w:line="500" w:lineRule="exact"/>
        <w:ind w:left="0" w:leftChars="0" w:right="0" w:rightChars="0"/>
        <w:textAlignment w:val="auto"/>
        <w:outlineLvl w:val="9"/>
        <w:rPr>
          <w:rFonts w:hint="eastAsia" w:ascii="仿宋" w:hAnsi="仿宋" w:eastAsia="仿宋" w:cs="仿宋"/>
          <w:b/>
          <w:sz w:val="28"/>
          <w:szCs w:val="28"/>
          <w:highlight w:val="none"/>
        </w:rPr>
      </w:pPr>
    </w:p>
    <w:p>
      <w:pPr>
        <w:keepNext w:val="0"/>
        <w:keepLines w:val="0"/>
        <w:pageBreakBefore w:val="0"/>
        <w:widowControl w:val="0"/>
        <w:kinsoku/>
        <w:wordWrap/>
        <w:overflowPunct/>
        <w:topLinePunct w:val="0"/>
        <w:autoSpaceDE/>
        <w:autoSpaceDN/>
        <w:bidi w:val="0"/>
        <w:spacing w:line="500" w:lineRule="exact"/>
        <w:ind w:left="0" w:leftChars="0" w:right="0" w:rightChars="0"/>
        <w:textAlignment w:val="auto"/>
        <w:outlineLvl w:val="9"/>
        <w:rPr>
          <w:rFonts w:hint="eastAsia" w:ascii="仿宋" w:hAnsi="仿宋" w:eastAsia="仿宋" w:cs="仿宋"/>
          <w:b/>
          <w:sz w:val="28"/>
          <w:szCs w:val="28"/>
          <w:highlight w:val="none"/>
        </w:rPr>
      </w:pPr>
    </w:p>
    <w:p>
      <w:pPr>
        <w:spacing w:line="500" w:lineRule="exact"/>
        <w:rPr>
          <w:rFonts w:ascii="仿宋" w:hAnsi="仿宋" w:eastAsia="仿宋" w:cs="仿宋"/>
          <w:bCs/>
          <w:sz w:val="28"/>
          <w:szCs w:val="28"/>
          <w:highlight w:val="none"/>
          <w:u w:val="single"/>
        </w:rPr>
      </w:pPr>
      <w:r>
        <w:rPr>
          <w:rFonts w:hint="eastAsia" w:ascii="仿宋" w:hAnsi="仿宋" w:eastAsia="仿宋" w:cs="仿宋"/>
          <w:b/>
          <w:sz w:val="28"/>
          <w:szCs w:val="28"/>
          <w:highlight w:val="none"/>
        </w:rPr>
        <w:t xml:space="preserve">     </w:t>
      </w:r>
      <w:r>
        <w:rPr>
          <w:rFonts w:hint="eastAsia" w:ascii="仿宋" w:hAnsi="仿宋" w:eastAsia="仿宋" w:cs="仿宋"/>
          <w:b/>
          <w:sz w:val="28"/>
          <w:szCs w:val="28"/>
          <w:highlight w:val="none"/>
          <w:lang w:val="en-US"/>
        </w:rPr>
        <w:t xml:space="preserve"> </w:t>
      </w:r>
      <w:r>
        <w:rPr>
          <w:rFonts w:hint="eastAsia" w:ascii="仿宋" w:hAnsi="仿宋" w:eastAsia="仿宋" w:cs="仿宋"/>
          <w:b/>
          <w:sz w:val="28"/>
          <w:szCs w:val="28"/>
          <w:highlight w:val="none"/>
          <w:lang w:val="en-US" w:eastAsia="zh-CN"/>
        </w:rPr>
        <w:t xml:space="preserve"> </w:t>
      </w:r>
      <w:r>
        <w:rPr>
          <w:rFonts w:hint="eastAsia" w:ascii="仿宋" w:hAnsi="仿宋" w:eastAsia="仿宋" w:cs="仿宋"/>
          <w:b/>
          <w:sz w:val="28"/>
          <w:szCs w:val="28"/>
          <w:highlight w:val="none"/>
        </w:rPr>
        <w:t>甲方(采购方)：</w:t>
      </w:r>
      <w:r>
        <w:rPr>
          <w:rFonts w:hint="eastAsia" w:ascii="仿宋" w:hAnsi="仿宋" w:eastAsia="仿宋" w:cs="仿宋"/>
          <w:bCs/>
          <w:sz w:val="28"/>
          <w:szCs w:val="28"/>
          <w:highlight w:val="none"/>
          <w:u w:val="single"/>
        </w:rPr>
        <w:t>贵州交投商贸物流有限公司</w:t>
      </w:r>
    </w:p>
    <w:p>
      <w:pPr>
        <w:spacing w:line="500" w:lineRule="exact"/>
        <w:rPr>
          <w:rFonts w:ascii="仿宋" w:hAnsi="仿宋" w:eastAsia="仿宋" w:cs="仿宋"/>
          <w:b/>
          <w:sz w:val="28"/>
          <w:szCs w:val="28"/>
          <w:highlight w:val="none"/>
        </w:rPr>
      </w:pPr>
      <w:r>
        <w:rPr>
          <w:rFonts w:hint="eastAsia" w:ascii="仿宋" w:hAnsi="仿宋" w:eastAsia="仿宋" w:cs="仿宋"/>
          <w:bCs/>
          <w:sz w:val="28"/>
          <w:szCs w:val="28"/>
          <w:highlight w:val="none"/>
        </w:rPr>
        <w:t xml:space="preserve">   </w:t>
      </w:r>
      <w:r>
        <w:rPr>
          <w:rFonts w:hint="eastAsia" w:ascii="仿宋" w:hAnsi="仿宋" w:eastAsia="仿宋" w:cs="仿宋"/>
          <w:b/>
          <w:sz w:val="28"/>
          <w:szCs w:val="28"/>
          <w:highlight w:val="none"/>
        </w:rPr>
        <w:t xml:space="preserve">  </w:t>
      </w:r>
      <w:r>
        <w:rPr>
          <w:rFonts w:hint="eastAsia" w:ascii="仿宋" w:hAnsi="仿宋" w:eastAsia="仿宋" w:cs="仿宋"/>
          <w:b/>
          <w:sz w:val="28"/>
          <w:szCs w:val="28"/>
          <w:highlight w:val="none"/>
          <w:lang w:val="en-US"/>
        </w:rPr>
        <w:t xml:space="preserve">  </w:t>
      </w:r>
      <w:r>
        <w:rPr>
          <w:rFonts w:hint="eastAsia" w:ascii="仿宋" w:hAnsi="仿宋" w:eastAsia="仿宋" w:cs="仿宋"/>
          <w:b/>
          <w:sz w:val="28"/>
          <w:szCs w:val="28"/>
          <w:highlight w:val="none"/>
        </w:rPr>
        <w:t xml:space="preserve">乙方(提供方)：   </w:t>
      </w:r>
    </w:p>
    <w:p>
      <w:pPr>
        <w:spacing w:line="500" w:lineRule="exact"/>
        <w:rPr>
          <w:rFonts w:ascii="仿宋" w:hAnsi="仿宋" w:eastAsia="仿宋" w:cs="仿宋"/>
          <w:bCs/>
          <w:sz w:val="28"/>
          <w:szCs w:val="28"/>
          <w:highlight w:val="none"/>
          <w:u w:val="single"/>
        </w:rPr>
      </w:pPr>
      <w:r>
        <w:rPr>
          <w:rFonts w:hint="eastAsia" w:ascii="仿宋" w:hAnsi="仿宋" w:eastAsia="仿宋" w:cs="仿宋"/>
          <w:b/>
          <w:sz w:val="28"/>
          <w:szCs w:val="28"/>
          <w:highlight w:val="none"/>
        </w:rPr>
        <w:t xml:space="preserve">     </w:t>
      </w:r>
      <w:r>
        <w:rPr>
          <w:rFonts w:hint="eastAsia" w:ascii="仿宋" w:hAnsi="仿宋" w:eastAsia="仿宋" w:cs="仿宋"/>
          <w:b/>
          <w:sz w:val="28"/>
          <w:szCs w:val="28"/>
          <w:highlight w:val="none"/>
          <w:lang w:val="en-US"/>
        </w:rPr>
        <w:t xml:space="preserve">  </w:t>
      </w:r>
      <w:r>
        <w:rPr>
          <w:rFonts w:hint="eastAsia" w:ascii="仿宋" w:hAnsi="仿宋" w:eastAsia="仿宋" w:cs="仿宋"/>
          <w:b/>
          <w:sz w:val="28"/>
          <w:szCs w:val="28"/>
          <w:highlight w:val="none"/>
        </w:rPr>
        <w:t xml:space="preserve">签定地点：   </w:t>
      </w:r>
    </w:p>
    <w:p>
      <w:pPr>
        <w:spacing w:line="500" w:lineRule="exact"/>
        <w:rPr>
          <w:rFonts w:ascii="仿宋" w:hAnsi="仿宋" w:eastAsia="仿宋" w:cs="仿宋"/>
          <w:bCs/>
          <w:sz w:val="28"/>
          <w:szCs w:val="28"/>
          <w:highlight w:val="none"/>
        </w:rPr>
      </w:pPr>
      <w:r>
        <w:rPr>
          <w:rFonts w:hint="eastAsia" w:ascii="仿宋" w:hAnsi="仿宋" w:eastAsia="仿宋" w:cs="仿宋"/>
          <w:b/>
          <w:sz w:val="28"/>
          <w:szCs w:val="28"/>
          <w:highlight w:val="none"/>
        </w:rPr>
        <w:t xml:space="preserve">    </w:t>
      </w:r>
      <w:r>
        <w:rPr>
          <w:rFonts w:hint="eastAsia" w:ascii="仿宋" w:hAnsi="仿宋" w:eastAsia="仿宋" w:cs="仿宋"/>
          <w:b/>
          <w:sz w:val="28"/>
          <w:szCs w:val="28"/>
          <w:highlight w:val="none"/>
          <w:lang w:val="en-US"/>
        </w:rPr>
        <w:t xml:space="preserve">  </w:t>
      </w:r>
      <w:r>
        <w:rPr>
          <w:rFonts w:hint="eastAsia" w:ascii="仿宋" w:hAnsi="仿宋" w:eastAsia="仿宋" w:cs="仿宋"/>
          <w:b/>
          <w:sz w:val="28"/>
          <w:szCs w:val="28"/>
          <w:highlight w:val="none"/>
        </w:rPr>
        <w:t xml:space="preserve"> 签定时间：</w:t>
      </w:r>
      <w:r>
        <w:rPr>
          <w:rFonts w:hint="eastAsia" w:ascii="仿宋" w:hAnsi="仿宋" w:eastAsia="仿宋" w:cs="仿宋"/>
          <w:bCs/>
          <w:sz w:val="28"/>
          <w:szCs w:val="28"/>
          <w:highlight w:val="none"/>
          <w:u w:val="single"/>
        </w:rPr>
        <w:t xml:space="preserve">    </w:t>
      </w:r>
      <w:r>
        <w:rPr>
          <w:rFonts w:hint="eastAsia" w:ascii="仿宋" w:hAnsi="仿宋" w:eastAsia="仿宋" w:cs="仿宋"/>
          <w:bCs/>
          <w:sz w:val="28"/>
          <w:szCs w:val="28"/>
          <w:highlight w:val="none"/>
        </w:rPr>
        <w:t>年</w:t>
      </w:r>
      <w:r>
        <w:rPr>
          <w:rFonts w:hint="eastAsia" w:ascii="仿宋" w:hAnsi="仿宋" w:eastAsia="仿宋" w:cs="仿宋"/>
          <w:bCs/>
          <w:sz w:val="28"/>
          <w:szCs w:val="28"/>
          <w:highlight w:val="none"/>
          <w:u w:val="single"/>
        </w:rPr>
        <w:t xml:space="preserve">    </w:t>
      </w:r>
      <w:r>
        <w:rPr>
          <w:rFonts w:hint="eastAsia" w:ascii="仿宋" w:hAnsi="仿宋" w:eastAsia="仿宋" w:cs="仿宋"/>
          <w:bCs/>
          <w:sz w:val="28"/>
          <w:szCs w:val="28"/>
          <w:highlight w:val="none"/>
        </w:rPr>
        <w:t>月</w:t>
      </w:r>
      <w:r>
        <w:rPr>
          <w:rFonts w:hint="eastAsia" w:ascii="仿宋" w:hAnsi="仿宋" w:eastAsia="仿宋" w:cs="仿宋"/>
          <w:bCs/>
          <w:sz w:val="28"/>
          <w:szCs w:val="28"/>
          <w:highlight w:val="none"/>
          <w:u w:val="single"/>
        </w:rPr>
        <w:t xml:space="preserve">    </w:t>
      </w:r>
      <w:r>
        <w:rPr>
          <w:rFonts w:hint="eastAsia" w:ascii="仿宋" w:hAnsi="仿宋" w:eastAsia="仿宋" w:cs="仿宋"/>
          <w:bCs/>
          <w:sz w:val="28"/>
          <w:szCs w:val="28"/>
          <w:highlight w:val="none"/>
        </w:rPr>
        <w:t>日</w:t>
      </w:r>
    </w:p>
    <w:p>
      <w:pPr>
        <w:spacing w:line="500" w:lineRule="exact"/>
        <w:rPr>
          <w:rFonts w:ascii="仿宋" w:hAnsi="仿宋" w:eastAsia="仿宋" w:cs="仿宋"/>
          <w:b/>
          <w:sz w:val="28"/>
          <w:szCs w:val="28"/>
          <w:highlight w:val="none"/>
        </w:rPr>
      </w:pPr>
      <w:r>
        <w:rPr>
          <w:rFonts w:hint="eastAsia" w:ascii="仿宋" w:hAnsi="仿宋" w:eastAsia="仿宋" w:cs="仿宋"/>
          <w:b/>
          <w:sz w:val="28"/>
          <w:szCs w:val="28"/>
          <w:highlight w:val="none"/>
        </w:rPr>
        <w:t xml:space="preserve">     </w:t>
      </w:r>
      <w:r>
        <w:rPr>
          <w:rFonts w:hint="eastAsia" w:ascii="仿宋" w:hAnsi="仿宋" w:eastAsia="仿宋" w:cs="仿宋"/>
          <w:b/>
          <w:sz w:val="28"/>
          <w:szCs w:val="28"/>
          <w:highlight w:val="none"/>
          <w:lang w:val="en-US"/>
        </w:rPr>
        <w:t xml:space="preserve">  </w:t>
      </w:r>
      <w:r>
        <w:rPr>
          <w:rFonts w:hint="eastAsia" w:ascii="仿宋" w:hAnsi="仿宋" w:eastAsia="仿宋" w:cs="仿宋"/>
          <w:b/>
          <w:sz w:val="28"/>
          <w:szCs w:val="28"/>
          <w:highlight w:val="none"/>
        </w:rPr>
        <w:t>合同编号</w:t>
      </w:r>
      <w:r>
        <w:rPr>
          <w:rFonts w:hint="eastAsia" w:ascii="仿宋" w:hAnsi="仿宋" w:eastAsia="仿宋" w:cs="仿宋"/>
          <w:bCs/>
          <w:sz w:val="28"/>
          <w:szCs w:val="28"/>
          <w:highlight w:val="none"/>
        </w:rPr>
        <w:t>：</w:t>
      </w:r>
      <w:r>
        <w:rPr>
          <w:rFonts w:hint="eastAsia" w:ascii="仿宋" w:hAnsi="仿宋" w:eastAsia="仿宋" w:cs="仿宋"/>
          <w:b/>
          <w:sz w:val="28"/>
          <w:szCs w:val="28"/>
          <w:highlight w:val="none"/>
          <w:u w:val="single"/>
        </w:rPr>
        <w:t xml:space="preserve">         </w:t>
      </w:r>
    </w:p>
    <w:p>
      <w:pPr>
        <w:keepNext w:val="0"/>
        <w:keepLines w:val="0"/>
        <w:pageBreakBefore w:val="0"/>
        <w:widowControl w:val="0"/>
        <w:kinsoku/>
        <w:wordWrap/>
        <w:overflowPunct/>
        <w:topLinePunct w:val="0"/>
        <w:autoSpaceDE/>
        <w:autoSpaceDN/>
        <w:bidi w:val="0"/>
        <w:spacing w:line="500" w:lineRule="exact"/>
        <w:ind w:left="0" w:leftChars="0" w:right="0" w:rightChars="0"/>
        <w:textAlignment w:val="auto"/>
        <w:outlineLvl w:val="9"/>
        <w:rPr>
          <w:rFonts w:hint="eastAsia" w:ascii="仿宋" w:hAnsi="仿宋" w:eastAsia="仿宋" w:cs="仿宋"/>
          <w:b/>
          <w:sz w:val="28"/>
          <w:szCs w:val="28"/>
          <w:highlight w:val="none"/>
          <w:u w:val="single"/>
        </w:rPr>
      </w:pPr>
    </w:p>
    <w:p>
      <w:pPr>
        <w:keepNext w:val="0"/>
        <w:keepLines w:val="0"/>
        <w:pageBreakBefore w:val="0"/>
        <w:widowControl w:val="0"/>
        <w:kinsoku/>
        <w:wordWrap/>
        <w:overflowPunct/>
        <w:topLinePunct w:val="0"/>
        <w:autoSpaceDE/>
        <w:autoSpaceDN/>
        <w:bidi w:val="0"/>
        <w:spacing w:line="500" w:lineRule="exact"/>
        <w:ind w:left="0" w:leftChars="0" w:right="0" w:rightChars="0"/>
        <w:textAlignment w:val="auto"/>
        <w:outlineLvl w:val="9"/>
        <w:rPr>
          <w:rFonts w:hint="eastAsia" w:ascii="仿宋" w:hAnsi="仿宋" w:eastAsia="仿宋" w:cs="仿宋"/>
          <w:b/>
          <w:sz w:val="28"/>
          <w:szCs w:val="28"/>
          <w:highlight w:val="none"/>
        </w:rPr>
      </w:pPr>
    </w:p>
    <w:p>
      <w:pPr>
        <w:keepNext w:val="0"/>
        <w:keepLines w:val="0"/>
        <w:pageBreakBefore w:val="0"/>
        <w:widowControl w:val="0"/>
        <w:kinsoku/>
        <w:wordWrap/>
        <w:overflowPunct/>
        <w:topLinePunct w:val="0"/>
        <w:autoSpaceDE/>
        <w:autoSpaceDN/>
        <w:bidi w:val="0"/>
        <w:spacing w:line="500" w:lineRule="exact"/>
        <w:ind w:left="0" w:leftChars="0" w:right="0" w:rightChars="0"/>
        <w:textAlignment w:val="auto"/>
        <w:outlineLvl w:val="9"/>
        <w:rPr>
          <w:rFonts w:hint="eastAsia" w:ascii="仿宋" w:hAnsi="仿宋" w:eastAsia="仿宋" w:cs="仿宋"/>
          <w:b/>
          <w:sz w:val="28"/>
          <w:szCs w:val="28"/>
          <w:highlight w:val="none"/>
        </w:rPr>
      </w:pPr>
    </w:p>
    <w:p>
      <w:pPr>
        <w:keepNext w:val="0"/>
        <w:keepLines w:val="0"/>
        <w:pageBreakBefore w:val="0"/>
        <w:widowControl w:val="0"/>
        <w:kinsoku/>
        <w:wordWrap/>
        <w:overflowPunct/>
        <w:topLinePunct w:val="0"/>
        <w:autoSpaceDE/>
        <w:autoSpaceDN/>
        <w:bidi w:val="0"/>
        <w:spacing w:line="500" w:lineRule="exact"/>
        <w:ind w:left="0" w:leftChars="0" w:right="0" w:rightChars="0"/>
        <w:textAlignment w:val="auto"/>
        <w:outlineLvl w:val="9"/>
        <w:rPr>
          <w:rFonts w:hint="eastAsia" w:ascii="仿宋" w:hAnsi="仿宋" w:eastAsia="仿宋" w:cs="仿宋"/>
          <w:b/>
          <w:sz w:val="28"/>
          <w:szCs w:val="28"/>
          <w:highlight w:val="none"/>
        </w:rPr>
      </w:pPr>
    </w:p>
    <w:p>
      <w:pPr>
        <w:keepNext w:val="0"/>
        <w:keepLines w:val="0"/>
        <w:pageBreakBefore w:val="0"/>
        <w:widowControl w:val="0"/>
        <w:kinsoku/>
        <w:wordWrap/>
        <w:overflowPunct/>
        <w:topLinePunct w:val="0"/>
        <w:autoSpaceDE/>
        <w:autoSpaceDN/>
        <w:bidi w:val="0"/>
        <w:spacing w:line="500" w:lineRule="exact"/>
        <w:ind w:left="0" w:leftChars="0" w:right="0" w:rightChars="0"/>
        <w:textAlignment w:val="auto"/>
        <w:outlineLvl w:val="9"/>
        <w:rPr>
          <w:rFonts w:hint="eastAsia" w:ascii="仿宋" w:hAnsi="仿宋" w:eastAsia="仿宋" w:cs="仿宋"/>
          <w:b/>
          <w:sz w:val="28"/>
          <w:szCs w:val="28"/>
          <w:highlight w:val="none"/>
        </w:rPr>
      </w:pPr>
    </w:p>
    <w:p>
      <w:pPr>
        <w:keepNext w:val="0"/>
        <w:keepLines w:val="0"/>
        <w:pageBreakBefore w:val="0"/>
        <w:widowControl w:val="0"/>
        <w:kinsoku/>
        <w:wordWrap/>
        <w:overflowPunct/>
        <w:topLinePunct w:val="0"/>
        <w:autoSpaceDE/>
        <w:autoSpaceDN/>
        <w:bidi w:val="0"/>
        <w:spacing w:line="500" w:lineRule="exact"/>
        <w:ind w:left="0" w:leftChars="0" w:right="0" w:rightChars="0"/>
        <w:textAlignment w:val="auto"/>
        <w:outlineLvl w:val="9"/>
        <w:rPr>
          <w:rFonts w:hint="eastAsia" w:ascii="仿宋" w:hAnsi="仿宋" w:eastAsia="仿宋" w:cs="仿宋"/>
          <w:b/>
          <w:sz w:val="28"/>
          <w:szCs w:val="28"/>
          <w:highlight w:val="none"/>
        </w:rPr>
      </w:pPr>
    </w:p>
    <w:p>
      <w:pPr>
        <w:keepNext w:val="0"/>
        <w:keepLines w:val="0"/>
        <w:pageBreakBefore w:val="0"/>
        <w:widowControl w:val="0"/>
        <w:kinsoku/>
        <w:wordWrap/>
        <w:overflowPunct/>
        <w:topLinePunct w:val="0"/>
        <w:autoSpaceDE/>
        <w:autoSpaceDN/>
        <w:bidi w:val="0"/>
        <w:spacing w:line="500" w:lineRule="exact"/>
        <w:ind w:left="0" w:leftChars="0" w:right="0" w:rightChars="0"/>
        <w:textAlignment w:val="auto"/>
        <w:outlineLvl w:val="9"/>
        <w:rPr>
          <w:rFonts w:hint="eastAsia" w:ascii="仿宋" w:hAnsi="仿宋" w:eastAsia="仿宋" w:cs="仿宋"/>
          <w:b/>
          <w:sz w:val="28"/>
          <w:szCs w:val="28"/>
          <w:highlight w:val="none"/>
        </w:rPr>
      </w:pPr>
    </w:p>
    <w:p>
      <w:pPr>
        <w:pStyle w:val="2"/>
        <w:rPr>
          <w:rFonts w:hint="eastAsia"/>
          <w:highlight w:val="none"/>
        </w:rPr>
      </w:pPr>
    </w:p>
    <w:p>
      <w:pPr>
        <w:keepNext w:val="0"/>
        <w:keepLines w:val="0"/>
        <w:pageBreakBefore w:val="0"/>
        <w:widowControl w:val="0"/>
        <w:kinsoku/>
        <w:wordWrap/>
        <w:overflowPunct/>
        <w:topLinePunct w:val="0"/>
        <w:autoSpaceDE/>
        <w:autoSpaceDN/>
        <w:bidi w:val="0"/>
        <w:spacing w:line="500" w:lineRule="exact"/>
        <w:ind w:right="0" w:rightChars="0"/>
        <w:textAlignment w:val="auto"/>
        <w:outlineLvl w:val="9"/>
        <w:rPr>
          <w:rFonts w:hint="eastAsia" w:ascii="仿宋" w:hAnsi="仿宋" w:eastAsia="仿宋" w:cs="仿宋"/>
          <w:b w:val="0"/>
          <w:bCs/>
          <w:sz w:val="28"/>
          <w:szCs w:val="28"/>
          <w:highlight w:val="none"/>
          <w:u w:val="single"/>
          <w:lang w:val="en-US" w:eastAsia="zh-CN"/>
        </w:rPr>
      </w:pPr>
    </w:p>
    <w:p>
      <w:pPr>
        <w:keepNext w:val="0"/>
        <w:keepLines w:val="0"/>
        <w:pageBreakBefore w:val="0"/>
        <w:widowControl w:val="0"/>
        <w:kinsoku/>
        <w:wordWrap/>
        <w:overflowPunct/>
        <w:topLinePunct w:val="0"/>
        <w:autoSpaceDE/>
        <w:autoSpaceDN/>
        <w:bidi w:val="0"/>
        <w:spacing w:line="360" w:lineRule="auto"/>
        <w:ind w:right="0" w:rightChars="0" w:firstLine="560" w:firstLineChars="200"/>
        <w:textAlignment w:val="auto"/>
        <w:outlineLvl w:val="9"/>
        <w:rPr>
          <w:rFonts w:hint="eastAsia" w:ascii="仿宋" w:hAnsi="仿宋" w:eastAsia="仿宋" w:cs="仿宋"/>
          <w:b/>
          <w:sz w:val="28"/>
          <w:szCs w:val="28"/>
          <w:highlight w:val="none"/>
        </w:rPr>
      </w:pPr>
      <w:r>
        <w:rPr>
          <w:rFonts w:hint="eastAsia" w:ascii="仿宋" w:hAnsi="仿宋" w:eastAsia="仿宋" w:cs="仿宋"/>
          <w:b w:val="0"/>
          <w:bCs/>
          <w:sz w:val="28"/>
          <w:szCs w:val="28"/>
          <w:highlight w:val="none"/>
          <w:u w:val="single"/>
          <w:lang w:val="en-US" w:eastAsia="zh-CN"/>
        </w:rPr>
        <w:t>甲方为满足生产经营需求，通过招标(招标文件编号为       )确定乙方为服务(钢材运输)提供方</w:t>
      </w:r>
      <w:r>
        <w:rPr>
          <w:rFonts w:hint="eastAsia" w:ascii="仿宋" w:hAnsi="仿宋" w:eastAsia="仿宋" w:cs="仿宋"/>
          <w:b w:val="0"/>
          <w:bCs/>
          <w:sz w:val="28"/>
          <w:szCs w:val="28"/>
          <w:highlight w:val="none"/>
          <w:lang w:val="en-US" w:eastAsia="zh-CN"/>
        </w:rPr>
        <w:t>，</w:t>
      </w:r>
      <w:r>
        <w:rPr>
          <w:rFonts w:hint="eastAsia" w:ascii="仿宋" w:hAnsi="仿宋" w:eastAsia="仿宋" w:cs="仿宋"/>
          <w:b w:val="0"/>
          <w:bCs/>
          <w:sz w:val="28"/>
          <w:szCs w:val="28"/>
          <w:highlight w:val="none"/>
        </w:rPr>
        <w:t>为明确甲、乙双方的权利和义务，根据《中华人民共和国</w:t>
      </w:r>
      <w:r>
        <w:rPr>
          <w:rFonts w:hint="eastAsia" w:ascii="仿宋" w:hAnsi="仿宋" w:eastAsia="仿宋" w:cs="仿宋"/>
          <w:b w:val="0"/>
          <w:bCs/>
          <w:sz w:val="28"/>
          <w:szCs w:val="28"/>
          <w:highlight w:val="none"/>
          <w:lang w:eastAsia="zh-CN"/>
        </w:rPr>
        <w:t>民法典</w:t>
      </w:r>
      <w:r>
        <w:rPr>
          <w:rFonts w:hint="eastAsia" w:ascii="仿宋" w:hAnsi="仿宋" w:eastAsia="仿宋" w:cs="仿宋"/>
          <w:b w:val="0"/>
          <w:bCs/>
          <w:sz w:val="28"/>
          <w:szCs w:val="28"/>
          <w:highlight w:val="none"/>
        </w:rPr>
        <w:t>》及其它有关法律、行政法规的有关规定，遵循平等、自愿、公平和诚信的原则，经双方协商同意，特订立本合同，以便遵照执行。</w:t>
      </w:r>
    </w:p>
    <w:p>
      <w:pPr>
        <w:keepNext w:val="0"/>
        <w:keepLines w:val="0"/>
        <w:pageBreakBefore w:val="0"/>
        <w:widowControl w:val="0"/>
        <w:kinsoku/>
        <w:wordWrap/>
        <w:overflowPunct/>
        <w:topLinePunct w:val="0"/>
        <w:autoSpaceDE/>
        <w:autoSpaceDN/>
        <w:bidi w:val="0"/>
        <w:spacing w:line="500" w:lineRule="exact"/>
        <w:ind w:left="0" w:leftChars="0" w:right="0" w:rightChars="0"/>
        <w:textAlignment w:val="auto"/>
        <w:outlineLvl w:val="9"/>
        <w:rPr>
          <w:rFonts w:hint="eastAsia" w:ascii="仿宋" w:hAnsi="仿宋" w:eastAsia="仿宋" w:cs="仿宋"/>
          <w:b/>
          <w:bCs/>
          <w:sz w:val="28"/>
          <w:szCs w:val="28"/>
          <w:highlight w:val="none"/>
        </w:rPr>
      </w:pPr>
      <w:r>
        <w:rPr>
          <w:rFonts w:hint="eastAsia" w:ascii="仿宋" w:hAnsi="仿宋" w:eastAsia="仿宋" w:cs="仿宋"/>
          <w:b/>
          <w:sz w:val="28"/>
          <w:szCs w:val="28"/>
          <w:highlight w:val="none"/>
        </w:rPr>
        <w:t>1 合同主体</w:t>
      </w:r>
      <w:r>
        <w:rPr>
          <w:rFonts w:hint="eastAsia" w:ascii="仿宋" w:hAnsi="仿宋" w:eastAsia="仿宋" w:cs="仿宋"/>
          <w:b/>
          <w:sz w:val="28"/>
          <w:szCs w:val="28"/>
          <w:highlight w:val="none"/>
          <w:lang w:val="en-US" w:eastAsia="zh-CN"/>
        </w:rPr>
        <w:t>双方信息。</w:t>
      </w:r>
    </w:p>
    <w:tbl>
      <w:tblPr>
        <w:tblStyle w:val="23"/>
        <w:tblpPr w:leftFromText="180" w:rightFromText="180" w:vertAnchor="text" w:tblpX="-96" w:tblpY="7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9"/>
        <w:gridCol w:w="3627"/>
        <w:gridCol w:w="1348"/>
        <w:gridCol w:w="3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926" w:type="dxa"/>
            <w:gridSpan w:val="2"/>
            <w:tcBorders>
              <w:top w:val="single" w:color="auto" w:sz="12" w:space="0"/>
              <w:left w:val="single" w:color="auto" w:sz="12" w:space="0"/>
              <w:right w:val="single" w:color="auto" w:sz="12" w:space="0"/>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exact"/>
              <w:ind w:right="0" w:rightChars="0"/>
              <w:jc w:val="center"/>
              <w:textAlignment w:val="auto"/>
              <w:outlineLvl w:val="9"/>
              <w:rPr>
                <w:rFonts w:hint="eastAsia" w:ascii="仿宋" w:hAnsi="仿宋" w:eastAsia="仿宋" w:cs="仿宋"/>
                <w:b w:val="0"/>
                <w:bCs w:val="0"/>
                <w:color w:val="auto"/>
                <w:sz w:val="24"/>
                <w:szCs w:val="24"/>
                <w:highlight w:val="none"/>
                <w:vertAlign w:val="baseline"/>
                <w:lang w:val="en-US" w:eastAsia="zh-CN"/>
              </w:rPr>
            </w:pPr>
            <w:r>
              <w:rPr>
                <w:rFonts w:hint="eastAsia" w:ascii="仿宋" w:hAnsi="仿宋" w:eastAsia="仿宋" w:cs="仿宋"/>
                <w:b w:val="0"/>
                <w:bCs w:val="0"/>
                <w:sz w:val="24"/>
                <w:szCs w:val="24"/>
                <w:highlight w:val="none"/>
              </w:rPr>
              <w:t>甲方(采购方)概况</w:t>
            </w:r>
          </w:p>
        </w:tc>
        <w:tc>
          <w:tcPr>
            <w:tcW w:w="4926" w:type="dxa"/>
            <w:gridSpan w:val="2"/>
            <w:tcBorders>
              <w:top w:val="single" w:color="auto" w:sz="12" w:space="0"/>
              <w:left w:val="single" w:color="auto" w:sz="12" w:space="0"/>
              <w:right w:val="single" w:color="auto" w:sz="12" w:space="0"/>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exact"/>
              <w:ind w:right="0" w:rightChars="0"/>
              <w:jc w:val="center"/>
              <w:textAlignment w:val="auto"/>
              <w:outlineLvl w:val="9"/>
              <w:rPr>
                <w:rFonts w:hint="eastAsia" w:ascii="仿宋" w:hAnsi="仿宋" w:eastAsia="仿宋" w:cs="仿宋"/>
                <w:b w:val="0"/>
                <w:bCs w:val="0"/>
                <w:color w:val="auto"/>
                <w:sz w:val="24"/>
                <w:szCs w:val="24"/>
                <w:highlight w:val="none"/>
                <w:vertAlign w:val="baseline"/>
                <w:lang w:val="en-US" w:eastAsia="zh-CN"/>
              </w:rPr>
            </w:pPr>
            <w:r>
              <w:rPr>
                <w:rFonts w:hint="eastAsia" w:ascii="仿宋" w:hAnsi="仿宋" w:eastAsia="仿宋" w:cs="仿宋"/>
                <w:b w:val="0"/>
                <w:bCs w:val="0"/>
                <w:sz w:val="24"/>
                <w:szCs w:val="24"/>
                <w:highlight w:val="none"/>
              </w:rPr>
              <w:t>乙方(</w:t>
            </w:r>
            <w:r>
              <w:rPr>
                <w:rFonts w:hint="eastAsia" w:ascii="仿宋" w:hAnsi="仿宋" w:eastAsia="仿宋" w:cs="仿宋"/>
                <w:b w:val="0"/>
                <w:bCs w:val="0"/>
                <w:sz w:val="24"/>
                <w:szCs w:val="24"/>
                <w:highlight w:val="none"/>
                <w:lang w:val="en-US" w:eastAsia="zh-CN"/>
              </w:rPr>
              <w:t>提供</w:t>
            </w:r>
            <w:r>
              <w:rPr>
                <w:rFonts w:hint="eastAsia" w:ascii="仿宋" w:hAnsi="仿宋" w:eastAsia="仿宋" w:cs="仿宋"/>
                <w:b w:val="0"/>
                <w:bCs w:val="0"/>
                <w:sz w:val="24"/>
                <w:szCs w:val="24"/>
                <w:highlight w:val="none"/>
              </w:rPr>
              <w:t>方)概况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99" w:type="dxa"/>
            <w:tcBorders>
              <w:left w:val="single" w:color="auto" w:sz="12" w:space="0"/>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exact"/>
              <w:ind w:right="0" w:rightChars="0"/>
              <w:jc w:val="both"/>
              <w:textAlignment w:val="auto"/>
              <w:outlineLvl w:val="9"/>
              <w:rPr>
                <w:rFonts w:hint="eastAsia" w:ascii="仿宋" w:hAnsi="仿宋" w:eastAsia="仿宋" w:cs="仿宋"/>
                <w:b w:val="0"/>
                <w:bCs w:val="0"/>
                <w:color w:val="auto"/>
                <w:sz w:val="21"/>
                <w:szCs w:val="21"/>
                <w:highlight w:val="none"/>
                <w:vertAlign w:val="baseline"/>
                <w:lang w:val="en-US" w:eastAsia="zh-CN"/>
              </w:rPr>
            </w:pPr>
            <w:r>
              <w:rPr>
                <w:rFonts w:hint="eastAsia" w:ascii="仿宋" w:hAnsi="仿宋" w:eastAsia="仿宋" w:cs="仿宋"/>
                <w:b w:val="0"/>
                <w:bCs w:val="0"/>
                <w:color w:val="auto"/>
                <w:sz w:val="21"/>
                <w:szCs w:val="21"/>
                <w:highlight w:val="none"/>
                <w:vertAlign w:val="baseline"/>
                <w:lang w:val="en-US" w:eastAsia="zh-CN"/>
              </w:rPr>
              <w:t>单位名称</w:t>
            </w:r>
          </w:p>
        </w:tc>
        <w:tc>
          <w:tcPr>
            <w:tcW w:w="3627" w:type="dxa"/>
            <w:tcBorders>
              <w:right w:val="single" w:color="auto" w:sz="12" w:space="0"/>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left"/>
              <w:textAlignment w:val="auto"/>
              <w:outlineLvl w:val="9"/>
              <w:rPr>
                <w:rFonts w:hint="eastAsia" w:ascii="仿宋" w:hAnsi="仿宋" w:eastAsia="仿宋" w:cs="仿宋"/>
                <w:b w:val="0"/>
                <w:bCs w:val="0"/>
                <w:color w:val="auto"/>
                <w:sz w:val="24"/>
                <w:szCs w:val="24"/>
                <w:highlight w:val="none"/>
                <w:vertAlign w:val="baseline"/>
                <w:lang w:val="en-US" w:eastAsia="zh-CN"/>
              </w:rPr>
            </w:pPr>
            <w:r>
              <w:rPr>
                <w:rFonts w:hint="eastAsia" w:ascii="仿宋" w:hAnsi="仿宋" w:eastAsia="仿宋" w:cs="仿宋"/>
                <w:b w:val="0"/>
                <w:bCs w:val="0"/>
                <w:sz w:val="24"/>
                <w:szCs w:val="24"/>
                <w:highlight w:val="none"/>
              </w:rPr>
              <w:t>贵州交投商贸物流有限公司</w:t>
            </w:r>
          </w:p>
        </w:tc>
        <w:tc>
          <w:tcPr>
            <w:tcW w:w="1348" w:type="dxa"/>
            <w:tcBorders>
              <w:left w:val="single" w:color="auto" w:sz="12" w:space="0"/>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both"/>
              <w:textAlignment w:val="auto"/>
              <w:outlineLvl w:val="9"/>
              <w:rPr>
                <w:rFonts w:hint="eastAsia" w:ascii="仿宋" w:hAnsi="仿宋" w:eastAsia="仿宋" w:cs="仿宋"/>
                <w:b w:val="0"/>
                <w:bCs w:val="0"/>
                <w:sz w:val="21"/>
                <w:szCs w:val="21"/>
                <w:highlight w:val="none"/>
                <w:lang w:val="en-US" w:eastAsia="zh-CN"/>
              </w:rPr>
            </w:pPr>
            <w:r>
              <w:rPr>
                <w:rFonts w:hint="eastAsia" w:ascii="仿宋" w:hAnsi="仿宋" w:eastAsia="仿宋" w:cs="仿宋"/>
                <w:b w:val="0"/>
                <w:bCs w:val="0"/>
                <w:sz w:val="21"/>
                <w:szCs w:val="21"/>
                <w:highlight w:val="none"/>
                <w:lang w:val="en-US" w:eastAsia="zh-CN"/>
              </w:rPr>
              <w:t>单位名称</w:t>
            </w:r>
          </w:p>
        </w:tc>
        <w:tc>
          <w:tcPr>
            <w:tcW w:w="3578" w:type="dxa"/>
            <w:tcBorders>
              <w:right w:val="single" w:color="auto" w:sz="12" w:space="0"/>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left"/>
              <w:textAlignment w:val="auto"/>
              <w:outlineLvl w:val="9"/>
              <w:rPr>
                <w:rFonts w:hint="eastAsia" w:ascii="仿宋" w:hAnsi="仿宋" w:eastAsia="仿宋" w:cs="仿宋"/>
                <w:b w:val="0"/>
                <w:bCs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99" w:type="dxa"/>
            <w:tcBorders>
              <w:left w:val="single" w:color="auto" w:sz="12" w:space="0"/>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exact"/>
              <w:ind w:right="0" w:rightChars="0"/>
              <w:jc w:val="both"/>
              <w:textAlignment w:val="auto"/>
              <w:outlineLvl w:val="9"/>
              <w:rPr>
                <w:rFonts w:hint="eastAsia" w:ascii="仿宋" w:hAnsi="仿宋" w:eastAsia="仿宋" w:cs="仿宋"/>
                <w:b w:val="0"/>
                <w:bCs w:val="0"/>
                <w:color w:val="auto"/>
                <w:sz w:val="21"/>
                <w:szCs w:val="21"/>
                <w:highlight w:val="none"/>
                <w:vertAlign w:val="baseline"/>
                <w:lang w:val="en-US" w:eastAsia="zh-CN"/>
              </w:rPr>
            </w:pPr>
            <w:r>
              <w:rPr>
                <w:rFonts w:hint="eastAsia" w:ascii="仿宋" w:hAnsi="仿宋" w:eastAsia="仿宋" w:cs="仿宋"/>
                <w:b w:val="0"/>
                <w:bCs w:val="0"/>
                <w:sz w:val="21"/>
                <w:szCs w:val="21"/>
                <w:highlight w:val="none"/>
              </w:rPr>
              <w:t>法定代表</w:t>
            </w:r>
            <w:r>
              <w:rPr>
                <w:rFonts w:hint="eastAsia" w:ascii="仿宋" w:hAnsi="仿宋" w:eastAsia="仿宋" w:cs="仿宋"/>
                <w:b w:val="0"/>
                <w:bCs w:val="0"/>
                <w:sz w:val="21"/>
                <w:szCs w:val="21"/>
                <w:highlight w:val="none"/>
                <w:lang w:val="en-US" w:eastAsia="zh-CN"/>
              </w:rPr>
              <w:t>人</w:t>
            </w:r>
          </w:p>
        </w:tc>
        <w:tc>
          <w:tcPr>
            <w:tcW w:w="3627" w:type="dxa"/>
            <w:tcBorders>
              <w:right w:val="single" w:color="auto" w:sz="12" w:space="0"/>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left"/>
              <w:textAlignment w:val="auto"/>
              <w:outlineLvl w:val="9"/>
              <w:rPr>
                <w:rFonts w:hint="eastAsia" w:ascii="仿宋" w:hAnsi="仿宋" w:eastAsia="仿宋" w:cs="仿宋"/>
                <w:b w:val="0"/>
                <w:bCs w:val="0"/>
                <w:color w:val="auto"/>
                <w:sz w:val="24"/>
                <w:szCs w:val="24"/>
                <w:highlight w:val="none"/>
                <w:vertAlign w:val="baseline"/>
                <w:lang w:val="en-US" w:eastAsia="zh-CN"/>
              </w:rPr>
            </w:pPr>
            <w:r>
              <w:rPr>
                <w:rFonts w:hint="eastAsia" w:ascii="仿宋" w:hAnsi="仿宋" w:eastAsia="仿宋" w:cs="仿宋"/>
                <w:b w:val="0"/>
                <w:bCs w:val="0"/>
                <w:sz w:val="24"/>
                <w:szCs w:val="24"/>
                <w:highlight w:val="none"/>
                <w:lang w:val="en-US" w:eastAsia="zh-CN"/>
              </w:rPr>
              <w:t>柯旭怡</w:t>
            </w:r>
          </w:p>
        </w:tc>
        <w:tc>
          <w:tcPr>
            <w:tcW w:w="1348" w:type="dxa"/>
            <w:tcBorders>
              <w:left w:val="single" w:color="auto" w:sz="12" w:space="0"/>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both"/>
              <w:textAlignment w:val="auto"/>
              <w:outlineLvl w:val="9"/>
              <w:rPr>
                <w:rFonts w:hint="eastAsia" w:ascii="仿宋" w:hAnsi="仿宋" w:eastAsia="仿宋" w:cs="仿宋"/>
                <w:b w:val="0"/>
                <w:bCs w:val="0"/>
                <w:sz w:val="21"/>
                <w:szCs w:val="21"/>
                <w:highlight w:val="none"/>
                <w:lang w:val="en-US" w:eastAsia="zh-CN"/>
              </w:rPr>
            </w:pPr>
            <w:r>
              <w:rPr>
                <w:rFonts w:hint="eastAsia" w:ascii="仿宋" w:hAnsi="仿宋" w:eastAsia="仿宋" w:cs="仿宋"/>
                <w:b w:val="0"/>
                <w:bCs w:val="0"/>
                <w:sz w:val="21"/>
                <w:szCs w:val="21"/>
                <w:highlight w:val="none"/>
              </w:rPr>
              <w:t>法定代表</w:t>
            </w:r>
            <w:r>
              <w:rPr>
                <w:rFonts w:hint="eastAsia" w:ascii="仿宋" w:hAnsi="仿宋" w:eastAsia="仿宋" w:cs="仿宋"/>
                <w:b w:val="0"/>
                <w:bCs w:val="0"/>
                <w:sz w:val="21"/>
                <w:szCs w:val="21"/>
                <w:highlight w:val="none"/>
                <w:lang w:val="en-US" w:eastAsia="zh-CN"/>
              </w:rPr>
              <w:t>人</w:t>
            </w:r>
          </w:p>
        </w:tc>
        <w:tc>
          <w:tcPr>
            <w:tcW w:w="3578" w:type="dxa"/>
            <w:tcBorders>
              <w:right w:val="single" w:color="auto" w:sz="12" w:space="0"/>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eastAsia" w:ascii="仿宋" w:hAnsi="仿宋" w:eastAsia="仿宋" w:cs="仿宋"/>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99" w:type="dxa"/>
            <w:tcBorders>
              <w:left w:val="single" w:color="auto" w:sz="12" w:space="0"/>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exact"/>
              <w:ind w:right="0" w:rightChars="0"/>
              <w:jc w:val="both"/>
              <w:textAlignment w:val="auto"/>
              <w:outlineLvl w:val="9"/>
              <w:rPr>
                <w:rFonts w:hint="eastAsia" w:ascii="仿宋" w:hAnsi="仿宋" w:eastAsia="仿宋" w:cs="仿宋"/>
                <w:b w:val="0"/>
                <w:bCs w:val="0"/>
                <w:color w:val="auto"/>
                <w:sz w:val="21"/>
                <w:szCs w:val="21"/>
                <w:highlight w:val="none"/>
                <w:vertAlign w:val="baseline"/>
                <w:lang w:val="en-US" w:eastAsia="zh-CN"/>
              </w:rPr>
            </w:pPr>
            <w:r>
              <w:rPr>
                <w:rFonts w:hint="eastAsia" w:ascii="仿宋" w:hAnsi="仿宋" w:eastAsia="仿宋" w:cs="仿宋"/>
                <w:b w:val="0"/>
                <w:bCs w:val="0"/>
                <w:sz w:val="21"/>
                <w:szCs w:val="21"/>
                <w:highlight w:val="none"/>
              </w:rPr>
              <w:t>信用代码</w:t>
            </w:r>
          </w:p>
        </w:tc>
        <w:tc>
          <w:tcPr>
            <w:tcW w:w="3627" w:type="dxa"/>
            <w:tcBorders>
              <w:right w:val="single" w:color="auto" w:sz="12" w:space="0"/>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left"/>
              <w:textAlignment w:val="auto"/>
              <w:outlineLvl w:val="9"/>
              <w:rPr>
                <w:rFonts w:hint="eastAsia" w:ascii="仿宋" w:hAnsi="仿宋" w:eastAsia="仿宋" w:cs="仿宋"/>
                <w:b w:val="0"/>
                <w:bCs w:val="0"/>
                <w:color w:val="auto"/>
                <w:sz w:val="24"/>
                <w:szCs w:val="24"/>
                <w:highlight w:val="none"/>
                <w:vertAlign w:val="baseline"/>
                <w:lang w:val="en-US" w:eastAsia="zh-CN"/>
              </w:rPr>
            </w:pPr>
            <w:r>
              <w:rPr>
                <w:rFonts w:hint="eastAsia" w:ascii="仿宋" w:hAnsi="仿宋" w:eastAsia="仿宋" w:cs="仿宋"/>
                <w:b w:val="0"/>
                <w:bCs w:val="0"/>
                <w:sz w:val="24"/>
                <w:szCs w:val="24"/>
                <w:highlight w:val="none"/>
              </w:rPr>
              <w:t>91520115314349707C</w:t>
            </w:r>
          </w:p>
        </w:tc>
        <w:tc>
          <w:tcPr>
            <w:tcW w:w="1348" w:type="dxa"/>
            <w:tcBorders>
              <w:left w:val="single" w:color="auto" w:sz="12" w:space="0"/>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both"/>
              <w:textAlignment w:val="auto"/>
              <w:outlineLvl w:val="9"/>
              <w:rPr>
                <w:rFonts w:hint="eastAsia" w:ascii="仿宋" w:hAnsi="仿宋" w:eastAsia="仿宋" w:cs="仿宋"/>
                <w:b w:val="0"/>
                <w:bCs w:val="0"/>
                <w:sz w:val="21"/>
                <w:szCs w:val="21"/>
                <w:highlight w:val="none"/>
                <w:lang w:val="en-US" w:eastAsia="zh-CN"/>
              </w:rPr>
            </w:pPr>
            <w:r>
              <w:rPr>
                <w:rFonts w:hint="eastAsia" w:ascii="仿宋" w:hAnsi="仿宋" w:eastAsia="仿宋" w:cs="仿宋"/>
                <w:b w:val="0"/>
                <w:bCs w:val="0"/>
                <w:sz w:val="21"/>
                <w:szCs w:val="21"/>
                <w:highlight w:val="none"/>
              </w:rPr>
              <w:t>信用代码</w:t>
            </w:r>
          </w:p>
        </w:tc>
        <w:tc>
          <w:tcPr>
            <w:tcW w:w="3578" w:type="dxa"/>
            <w:tcBorders>
              <w:right w:val="single" w:color="auto" w:sz="12" w:space="0"/>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left"/>
              <w:textAlignment w:val="auto"/>
              <w:outlineLvl w:val="9"/>
              <w:rPr>
                <w:rFonts w:hint="eastAsia" w:ascii="仿宋" w:hAnsi="仿宋" w:eastAsia="仿宋" w:cs="仿宋"/>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exact"/>
        </w:trPr>
        <w:tc>
          <w:tcPr>
            <w:tcW w:w="1299" w:type="dxa"/>
            <w:tcBorders>
              <w:left w:val="single" w:color="auto" w:sz="12" w:space="0"/>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exact"/>
              <w:ind w:right="0" w:rightChars="0"/>
              <w:jc w:val="both"/>
              <w:textAlignment w:val="auto"/>
              <w:outlineLvl w:val="9"/>
              <w:rPr>
                <w:rFonts w:hint="eastAsia" w:ascii="仿宋" w:hAnsi="仿宋" w:eastAsia="仿宋" w:cs="仿宋"/>
                <w:b w:val="0"/>
                <w:bCs w:val="0"/>
                <w:color w:val="auto"/>
                <w:sz w:val="21"/>
                <w:szCs w:val="21"/>
                <w:highlight w:val="none"/>
                <w:vertAlign w:val="baseline"/>
                <w:lang w:val="en-US" w:eastAsia="zh-CN"/>
              </w:rPr>
            </w:pPr>
            <w:r>
              <w:rPr>
                <w:rFonts w:hint="eastAsia" w:ascii="仿宋" w:hAnsi="仿宋" w:eastAsia="仿宋" w:cs="仿宋"/>
                <w:b w:val="0"/>
                <w:bCs w:val="0"/>
                <w:sz w:val="21"/>
                <w:szCs w:val="21"/>
                <w:highlight w:val="none"/>
              </w:rPr>
              <w:t>单位类型</w:t>
            </w:r>
          </w:p>
        </w:tc>
        <w:tc>
          <w:tcPr>
            <w:tcW w:w="3627" w:type="dxa"/>
            <w:tcBorders>
              <w:right w:val="single" w:color="auto" w:sz="12" w:space="0"/>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left"/>
              <w:textAlignment w:val="auto"/>
              <w:outlineLvl w:val="9"/>
              <w:rPr>
                <w:rFonts w:hint="eastAsia" w:ascii="仿宋" w:hAnsi="仿宋" w:eastAsia="仿宋" w:cs="仿宋"/>
                <w:b w:val="0"/>
                <w:bCs w:val="0"/>
                <w:color w:val="auto"/>
                <w:sz w:val="24"/>
                <w:szCs w:val="24"/>
                <w:highlight w:val="none"/>
                <w:vertAlign w:val="baseline"/>
                <w:lang w:val="en-US" w:eastAsia="zh-CN"/>
              </w:rPr>
            </w:pPr>
            <w:r>
              <w:rPr>
                <w:rFonts w:hint="eastAsia" w:ascii="仿宋" w:hAnsi="仿宋" w:eastAsia="仿宋" w:cs="仿宋"/>
                <w:sz w:val="24"/>
                <w:szCs w:val="24"/>
                <w:highlight w:val="none"/>
                <w:lang w:eastAsia="zh-CN"/>
              </w:rPr>
              <w:t>有限责任公司（非自然人投资或控股的法人独资）</w:t>
            </w:r>
          </w:p>
        </w:tc>
        <w:tc>
          <w:tcPr>
            <w:tcW w:w="1348" w:type="dxa"/>
            <w:tcBorders>
              <w:left w:val="single" w:color="auto" w:sz="12" w:space="0"/>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both"/>
              <w:textAlignment w:val="auto"/>
              <w:outlineLvl w:val="9"/>
              <w:rPr>
                <w:rFonts w:hint="eastAsia" w:ascii="仿宋" w:hAnsi="仿宋" w:eastAsia="仿宋" w:cs="仿宋"/>
                <w:b w:val="0"/>
                <w:bCs w:val="0"/>
                <w:sz w:val="21"/>
                <w:szCs w:val="21"/>
                <w:highlight w:val="none"/>
                <w:lang w:val="en-US" w:eastAsia="zh-CN"/>
              </w:rPr>
            </w:pPr>
            <w:r>
              <w:rPr>
                <w:rFonts w:hint="eastAsia" w:ascii="仿宋" w:hAnsi="仿宋" w:eastAsia="仿宋" w:cs="仿宋"/>
                <w:b w:val="0"/>
                <w:bCs w:val="0"/>
                <w:sz w:val="21"/>
                <w:szCs w:val="21"/>
                <w:highlight w:val="none"/>
              </w:rPr>
              <w:t>单位类型</w:t>
            </w:r>
          </w:p>
        </w:tc>
        <w:tc>
          <w:tcPr>
            <w:tcW w:w="3578" w:type="dxa"/>
            <w:tcBorders>
              <w:right w:val="single" w:color="auto" w:sz="12" w:space="0"/>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left"/>
              <w:textAlignment w:val="auto"/>
              <w:outlineLvl w:val="9"/>
              <w:rPr>
                <w:rFonts w:hint="eastAsia" w:ascii="仿宋" w:hAnsi="仿宋" w:eastAsia="仿宋" w:cs="仿宋"/>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99" w:type="dxa"/>
            <w:tcBorders>
              <w:left w:val="single" w:color="auto" w:sz="12" w:space="0"/>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exact"/>
              <w:ind w:right="0" w:rightChars="0"/>
              <w:jc w:val="both"/>
              <w:textAlignment w:val="auto"/>
              <w:outlineLvl w:val="9"/>
              <w:rPr>
                <w:rFonts w:hint="eastAsia" w:ascii="仿宋" w:hAnsi="仿宋" w:eastAsia="仿宋" w:cs="仿宋"/>
                <w:color w:val="auto"/>
                <w:sz w:val="21"/>
                <w:szCs w:val="21"/>
                <w:highlight w:val="none"/>
                <w:vertAlign w:val="baseline"/>
                <w:lang w:val="en-US" w:eastAsia="zh-CN"/>
              </w:rPr>
            </w:pPr>
            <w:r>
              <w:rPr>
                <w:rFonts w:hint="eastAsia" w:ascii="仿宋" w:hAnsi="仿宋" w:eastAsia="仿宋" w:cs="仿宋"/>
                <w:sz w:val="21"/>
                <w:szCs w:val="21"/>
                <w:highlight w:val="none"/>
              </w:rPr>
              <w:t>注册资本</w:t>
            </w:r>
          </w:p>
        </w:tc>
        <w:tc>
          <w:tcPr>
            <w:tcW w:w="3627" w:type="dxa"/>
            <w:tcBorders>
              <w:right w:val="single" w:color="auto" w:sz="12" w:space="0"/>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left"/>
              <w:textAlignment w:val="auto"/>
              <w:outlineLvl w:val="9"/>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b w:val="0"/>
                <w:bCs w:val="0"/>
                <w:sz w:val="24"/>
                <w:szCs w:val="24"/>
                <w:highlight w:val="none"/>
                <w:lang w:val="en-US" w:eastAsia="zh-CN"/>
              </w:rPr>
              <w:t>2</w:t>
            </w:r>
            <w:r>
              <w:rPr>
                <w:rFonts w:hint="eastAsia" w:ascii="仿宋" w:hAnsi="仿宋" w:eastAsia="仿宋" w:cs="仿宋"/>
                <w:b w:val="0"/>
                <w:bCs w:val="0"/>
                <w:sz w:val="24"/>
                <w:szCs w:val="24"/>
                <w:highlight w:val="none"/>
              </w:rPr>
              <w:t>0000.000000万人民币</w:t>
            </w:r>
          </w:p>
        </w:tc>
        <w:tc>
          <w:tcPr>
            <w:tcW w:w="1348" w:type="dxa"/>
            <w:tcBorders>
              <w:left w:val="single" w:color="auto" w:sz="12" w:space="0"/>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both"/>
              <w:textAlignment w:val="auto"/>
              <w:outlineLvl w:val="9"/>
              <w:rPr>
                <w:rFonts w:hint="eastAsia" w:ascii="仿宋" w:hAnsi="仿宋" w:eastAsia="仿宋" w:cs="仿宋"/>
                <w:b w:val="0"/>
                <w:bCs w:val="0"/>
                <w:sz w:val="21"/>
                <w:szCs w:val="21"/>
                <w:highlight w:val="none"/>
                <w:lang w:val="en-US" w:eastAsia="zh-CN"/>
              </w:rPr>
            </w:pPr>
            <w:r>
              <w:rPr>
                <w:rFonts w:hint="eastAsia" w:ascii="仿宋" w:hAnsi="仿宋" w:eastAsia="仿宋" w:cs="仿宋"/>
                <w:b w:val="0"/>
                <w:bCs w:val="0"/>
                <w:sz w:val="21"/>
                <w:szCs w:val="21"/>
                <w:highlight w:val="none"/>
              </w:rPr>
              <w:t>注册资本</w:t>
            </w:r>
          </w:p>
        </w:tc>
        <w:tc>
          <w:tcPr>
            <w:tcW w:w="3578" w:type="dxa"/>
            <w:tcBorders>
              <w:right w:val="single" w:color="auto" w:sz="12" w:space="0"/>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left"/>
              <w:textAlignment w:val="auto"/>
              <w:outlineLvl w:val="9"/>
              <w:rPr>
                <w:rFonts w:hint="eastAsia" w:ascii="仿宋" w:hAnsi="仿宋" w:eastAsia="仿宋" w:cs="仿宋"/>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99" w:type="dxa"/>
            <w:tcBorders>
              <w:left w:val="single" w:color="auto" w:sz="12" w:space="0"/>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exact"/>
              <w:ind w:right="0" w:rightChars="0"/>
              <w:jc w:val="both"/>
              <w:textAlignment w:val="auto"/>
              <w:outlineLvl w:val="9"/>
              <w:rPr>
                <w:rFonts w:hint="eastAsia" w:ascii="仿宋" w:hAnsi="仿宋" w:eastAsia="仿宋" w:cs="仿宋"/>
                <w:color w:val="auto"/>
                <w:sz w:val="21"/>
                <w:szCs w:val="21"/>
                <w:highlight w:val="none"/>
                <w:vertAlign w:val="baseline"/>
                <w:lang w:val="en-US" w:eastAsia="zh-CN"/>
              </w:rPr>
            </w:pPr>
            <w:r>
              <w:rPr>
                <w:rFonts w:hint="eastAsia" w:ascii="仿宋" w:hAnsi="仿宋" w:eastAsia="仿宋" w:cs="仿宋"/>
                <w:sz w:val="21"/>
                <w:szCs w:val="21"/>
                <w:highlight w:val="none"/>
              </w:rPr>
              <w:t>营业期限</w:t>
            </w:r>
          </w:p>
        </w:tc>
        <w:tc>
          <w:tcPr>
            <w:tcW w:w="3627" w:type="dxa"/>
            <w:tcBorders>
              <w:right w:val="single" w:color="auto" w:sz="12" w:space="0"/>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left"/>
              <w:textAlignment w:val="auto"/>
              <w:outlineLvl w:val="9"/>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b w:val="0"/>
                <w:bCs w:val="0"/>
                <w:sz w:val="24"/>
                <w:szCs w:val="24"/>
                <w:highlight w:val="none"/>
              </w:rPr>
              <w:t>自2014年09月15日</w:t>
            </w:r>
            <w:r>
              <w:rPr>
                <w:rFonts w:hint="eastAsia" w:ascii="仿宋" w:hAnsi="仿宋" w:eastAsia="仿宋" w:cs="仿宋"/>
                <w:sz w:val="24"/>
                <w:szCs w:val="24"/>
                <w:highlight w:val="none"/>
                <w:lang w:eastAsia="zh-CN"/>
              </w:rPr>
              <w:t>至长期</w:t>
            </w:r>
          </w:p>
        </w:tc>
        <w:tc>
          <w:tcPr>
            <w:tcW w:w="1348" w:type="dxa"/>
            <w:tcBorders>
              <w:left w:val="single" w:color="auto" w:sz="12" w:space="0"/>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both"/>
              <w:textAlignment w:val="auto"/>
              <w:outlineLvl w:val="9"/>
              <w:rPr>
                <w:rFonts w:hint="eastAsia" w:ascii="仿宋" w:hAnsi="仿宋" w:eastAsia="仿宋" w:cs="仿宋"/>
                <w:b w:val="0"/>
                <w:bCs w:val="0"/>
                <w:sz w:val="21"/>
                <w:szCs w:val="21"/>
                <w:highlight w:val="none"/>
                <w:lang w:val="en-US" w:eastAsia="zh-CN"/>
              </w:rPr>
            </w:pPr>
            <w:r>
              <w:rPr>
                <w:rFonts w:hint="eastAsia" w:ascii="仿宋" w:hAnsi="仿宋" w:eastAsia="仿宋" w:cs="仿宋"/>
                <w:b w:val="0"/>
                <w:bCs w:val="0"/>
                <w:sz w:val="21"/>
                <w:szCs w:val="21"/>
                <w:highlight w:val="none"/>
              </w:rPr>
              <w:t>营业期限</w:t>
            </w:r>
          </w:p>
        </w:tc>
        <w:tc>
          <w:tcPr>
            <w:tcW w:w="3578" w:type="dxa"/>
            <w:tcBorders>
              <w:right w:val="single" w:color="auto" w:sz="12" w:space="0"/>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left"/>
              <w:textAlignment w:val="auto"/>
              <w:outlineLvl w:val="9"/>
              <w:rPr>
                <w:rFonts w:hint="eastAsia" w:ascii="仿宋" w:hAnsi="仿宋" w:eastAsia="仿宋" w:cs="仿宋"/>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trPr>
        <w:tc>
          <w:tcPr>
            <w:tcW w:w="1299" w:type="dxa"/>
            <w:tcBorders>
              <w:left w:val="single" w:color="auto" w:sz="12" w:space="0"/>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exact"/>
              <w:ind w:right="0" w:rightChars="0"/>
              <w:jc w:val="both"/>
              <w:textAlignment w:val="auto"/>
              <w:outlineLvl w:val="9"/>
              <w:rPr>
                <w:rFonts w:hint="eastAsia" w:ascii="仿宋" w:hAnsi="仿宋" w:eastAsia="仿宋" w:cs="仿宋"/>
                <w:color w:val="auto"/>
                <w:sz w:val="21"/>
                <w:szCs w:val="21"/>
                <w:highlight w:val="none"/>
                <w:vertAlign w:val="baseline"/>
                <w:lang w:val="en-US" w:eastAsia="zh-CN"/>
              </w:rPr>
            </w:pPr>
            <w:r>
              <w:rPr>
                <w:rFonts w:hint="eastAsia" w:ascii="仿宋" w:hAnsi="仿宋" w:eastAsia="仿宋" w:cs="仿宋"/>
                <w:sz w:val="21"/>
                <w:szCs w:val="21"/>
                <w:highlight w:val="none"/>
              </w:rPr>
              <w:t>登记住所</w:t>
            </w:r>
          </w:p>
        </w:tc>
        <w:tc>
          <w:tcPr>
            <w:tcW w:w="3627" w:type="dxa"/>
            <w:tcBorders>
              <w:right w:val="single" w:color="auto" w:sz="12" w:space="0"/>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left"/>
              <w:textAlignment w:val="auto"/>
              <w:outlineLvl w:val="9"/>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b w:val="0"/>
                <w:bCs w:val="0"/>
                <w:sz w:val="24"/>
                <w:szCs w:val="24"/>
                <w:highlight w:val="none"/>
              </w:rPr>
              <w:t>贵州贵阳国家高新技术产业开发区贵阳国家高新区金阳阳关大道100号</w:t>
            </w:r>
          </w:p>
        </w:tc>
        <w:tc>
          <w:tcPr>
            <w:tcW w:w="1348" w:type="dxa"/>
            <w:tcBorders>
              <w:left w:val="single" w:color="auto" w:sz="12" w:space="0"/>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both"/>
              <w:textAlignment w:val="auto"/>
              <w:outlineLvl w:val="9"/>
              <w:rPr>
                <w:rFonts w:hint="eastAsia" w:ascii="仿宋" w:hAnsi="仿宋" w:eastAsia="仿宋" w:cs="仿宋"/>
                <w:b w:val="0"/>
                <w:bCs w:val="0"/>
                <w:sz w:val="21"/>
                <w:szCs w:val="21"/>
                <w:highlight w:val="none"/>
                <w:lang w:val="en-US" w:eastAsia="zh-CN"/>
              </w:rPr>
            </w:pPr>
            <w:r>
              <w:rPr>
                <w:rFonts w:hint="eastAsia" w:ascii="仿宋" w:hAnsi="仿宋" w:eastAsia="仿宋" w:cs="仿宋"/>
                <w:b w:val="0"/>
                <w:bCs w:val="0"/>
                <w:sz w:val="21"/>
                <w:szCs w:val="21"/>
                <w:highlight w:val="none"/>
              </w:rPr>
              <w:t>登记住所</w:t>
            </w:r>
          </w:p>
        </w:tc>
        <w:tc>
          <w:tcPr>
            <w:tcW w:w="3578" w:type="dxa"/>
            <w:tcBorders>
              <w:right w:val="single" w:color="auto" w:sz="12" w:space="0"/>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left"/>
              <w:textAlignment w:val="auto"/>
              <w:outlineLvl w:val="9"/>
              <w:rPr>
                <w:rFonts w:hint="eastAsia" w:ascii="仿宋" w:hAnsi="仿宋" w:eastAsia="仿宋" w:cs="仿宋"/>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trPr>
        <w:tc>
          <w:tcPr>
            <w:tcW w:w="1299" w:type="dxa"/>
            <w:tcBorders>
              <w:left w:val="single" w:color="auto" w:sz="12" w:space="0"/>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both"/>
              <w:textAlignment w:val="auto"/>
              <w:outlineLvl w:val="9"/>
              <w:rPr>
                <w:rFonts w:hint="eastAsia" w:ascii="仿宋" w:hAnsi="仿宋" w:eastAsia="仿宋" w:cs="仿宋"/>
                <w:color w:val="auto"/>
                <w:sz w:val="21"/>
                <w:szCs w:val="21"/>
                <w:highlight w:val="none"/>
                <w:vertAlign w:val="baseline"/>
                <w:lang w:val="en-US" w:eastAsia="zh-CN"/>
              </w:rPr>
            </w:pPr>
            <w:r>
              <w:rPr>
                <w:rFonts w:hint="eastAsia" w:ascii="仿宋" w:hAnsi="仿宋" w:eastAsia="仿宋" w:cs="仿宋"/>
                <w:b w:val="0"/>
                <w:bCs w:val="0"/>
                <w:sz w:val="21"/>
                <w:szCs w:val="21"/>
                <w:highlight w:val="none"/>
              </w:rPr>
              <w:t>登记机关</w:t>
            </w:r>
          </w:p>
        </w:tc>
        <w:tc>
          <w:tcPr>
            <w:tcW w:w="3627" w:type="dxa"/>
            <w:tcBorders>
              <w:right w:val="single" w:color="auto" w:sz="12" w:space="0"/>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left"/>
              <w:textAlignment w:val="auto"/>
              <w:outlineLvl w:val="9"/>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b w:val="0"/>
                <w:bCs w:val="0"/>
                <w:sz w:val="24"/>
                <w:szCs w:val="24"/>
                <w:highlight w:val="none"/>
              </w:rPr>
              <w:t>贵阳市工商行政管理局贵阳国家高新技术产业开发区分局</w:t>
            </w:r>
          </w:p>
        </w:tc>
        <w:tc>
          <w:tcPr>
            <w:tcW w:w="1348" w:type="dxa"/>
            <w:tcBorders>
              <w:left w:val="single" w:color="auto" w:sz="12" w:space="0"/>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both"/>
              <w:textAlignment w:val="auto"/>
              <w:outlineLvl w:val="9"/>
              <w:rPr>
                <w:rFonts w:hint="eastAsia" w:ascii="仿宋" w:hAnsi="仿宋" w:eastAsia="仿宋" w:cs="仿宋"/>
                <w:b w:val="0"/>
                <w:bCs w:val="0"/>
                <w:sz w:val="21"/>
                <w:szCs w:val="21"/>
                <w:highlight w:val="none"/>
                <w:lang w:val="en-US" w:eastAsia="zh-CN"/>
              </w:rPr>
            </w:pPr>
            <w:r>
              <w:rPr>
                <w:rFonts w:hint="eastAsia" w:ascii="仿宋" w:hAnsi="仿宋" w:eastAsia="仿宋" w:cs="仿宋"/>
                <w:b w:val="0"/>
                <w:bCs w:val="0"/>
                <w:sz w:val="21"/>
                <w:szCs w:val="21"/>
                <w:highlight w:val="none"/>
              </w:rPr>
              <w:t>登记机关</w:t>
            </w:r>
          </w:p>
        </w:tc>
        <w:tc>
          <w:tcPr>
            <w:tcW w:w="3578" w:type="dxa"/>
            <w:tcBorders>
              <w:right w:val="single" w:color="auto" w:sz="12" w:space="0"/>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left"/>
              <w:textAlignment w:val="auto"/>
              <w:outlineLvl w:val="9"/>
              <w:rPr>
                <w:rFonts w:hint="eastAsia" w:ascii="仿宋" w:hAnsi="仿宋" w:eastAsia="仿宋" w:cs="仿宋"/>
                <w:b w:val="0"/>
                <w:bCs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trPr>
        <w:tc>
          <w:tcPr>
            <w:tcW w:w="1299" w:type="dxa"/>
            <w:tcBorders>
              <w:left w:val="single" w:color="auto" w:sz="12" w:space="0"/>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both"/>
              <w:textAlignment w:val="auto"/>
              <w:outlineLvl w:val="9"/>
              <w:rPr>
                <w:rFonts w:hint="eastAsia" w:ascii="仿宋" w:hAnsi="仿宋" w:eastAsia="仿宋" w:cs="仿宋"/>
                <w:color w:val="auto"/>
                <w:sz w:val="21"/>
                <w:szCs w:val="21"/>
                <w:highlight w:val="none"/>
                <w:vertAlign w:val="baseline"/>
                <w:lang w:val="en-US" w:eastAsia="zh-CN"/>
              </w:rPr>
            </w:pPr>
            <w:r>
              <w:rPr>
                <w:rFonts w:hint="eastAsia" w:ascii="仿宋" w:hAnsi="仿宋" w:eastAsia="仿宋" w:cs="仿宋"/>
                <w:color w:val="auto"/>
                <w:sz w:val="21"/>
                <w:szCs w:val="21"/>
                <w:highlight w:val="none"/>
                <w:vertAlign w:val="baseline"/>
                <w:lang w:val="en-US" w:eastAsia="zh-CN"/>
              </w:rPr>
              <w:t>开户银行及账号</w:t>
            </w:r>
          </w:p>
        </w:tc>
        <w:tc>
          <w:tcPr>
            <w:tcW w:w="3627" w:type="dxa"/>
            <w:tcBorders>
              <w:right w:val="single" w:color="auto" w:sz="12" w:space="0"/>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left"/>
              <w:textAlignment w:val="auto"/>
              <w:outlineLvl w:val="9"/>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中国农业银行贵阳市新华支行，</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left"/>
              <w:textAlignment w:val="auto"/>
              <w:outlineLvl w:val="9"/>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b w:val="0"/>
                <w:bCs w:val="0"/>
                <w:sz w:val="24"/>
                <w:szCs w:val="24"/>
                <w:highlight w:val="none"/>
              </w:rPr>
              <w:t>2399</w:t>
            </w:r>
            <w:r>
              <w:rPr>
                <w:rFonts w:hint="eastAsia" w:ascii="仿宋" w:hAnsi="仿宋" w:eastAsia="仿宋" w:cs="仿宋"/>
                <w:b w:val="0"/>
                <w:bCs w:val="0"/>
                <w:sz w:val="24"/>
                <w:szCs w:val="24"/>
                <w:highlight w:val="none"/>
                <w:lang w:val="en-US" w:eastAsia="zh-CN"/>
              </w:rPr>
              <w:t xml:space="preserve"> </w:t>
            </w:r>
            <w:r>
              <w:rPr>
                <w:rFonts w:hint="eastAsia" w:ascii="仿宋" w:hAnsi="仿宋" w:eastAsia="仿宋" w:cs="仿宋"/>
                <w:b w:val="0"/>
                <w:bCs w:val="0"/>
                <w:sz w:val="24"/>
                <w:szCs w:val="24"/>
                <w:highlight w:val="none"/>
              </w:rPr>
              <w:t>2001</w:t>
            </w:r>
            <w:r>
              <w:rPr>
                <w:rFonts w:hint="eastAsia" w:ascii="仿宋" w:hAnsi="仿宋" w:eastAsia="仿宋" w:cs="仿宋"/>
                <w:b w:val="0"/>
                <w:bCs w:val="0"/>
                <w:sz w:val="24"/>
                <w:szCs w:val="24"/>
                <w:highlight w:val="none"/>
                <w:lang w:val="en-US" w:eastAsia="zh-CN"/>
              </w:rPr>
              <w:t xml:space="preserve"> </w:t>
            </w:r>
            <w:r>
              <w:rPr>
                <w:rFonts w:hint="eastAsia" w:ascii="仿宋" w:hAnsi="仿宋" w:eastAsia="仿宋" w:cs="仿宋"/>
                <w:b w:val="0"/>
                <w:bCs w:val="0"/>
                <w:sz w:val="24"/>
                <w:szCs w:val="24"/>
                <w:highlight w:val="none"/>
              </w:rPr>
              <w:t>0400</w:t>
            </w:r>
            <w:r>
              <w:rPr>
                <w:rFonts w:hint="eastAsia" w:ascii="仿宋" w:hAnsi="仿宋" w:eastAsia="仿宋" w:cs="仿宋"/>
                <w:b w:val="0"/>
                <w:bCs w:val="0"/>
                <w:sz w:val="24"/>
                <w:szCs w:val="24"/>
                <w:highlight w:val="none"/>
                <w:lang w:val="en-US" w:eastAsia="zh-CN"/>
              </w:rPr>
              <w:t xml:space="preserve"> </w:t>
            </w:r>
            <w:r>
              <w:rPr>
                <w:rFonts w:hint="eastAsia" w:ascii="仿宋" w:hAnsi="仿宋" w:eastAsia="仿宋" w:cs="仿宋"/>
                <w:b w:val="0"/>
                <w:bCs w:val="0"/>
                <w:sz w:val="24"/>
                <w:szCs w:val="24"/>
                <w:highlight w:val="none"/>
              </w:rPr>
              <w:t>2695</w:t>
            </w:r>
            <w:r>
              <w:rPr>
                <w:rFonts w:hint="eastAsia" w:ascii="仿宋" w:hAnsi="仿宋" w:eastAsia="仿宋" w:cs="仿宋"/>
                <w:b w:val="0"/>
                <w:bCs w:val="0"/>
                <w:sz w:val="24"/>
                <w:szCs w:val="24"/>
                <w:highlight w:val="none"/>
                <w:lang w:val="en-US" w:eastAsia="zh-CN"/>
              </w:rPr>
              <w:t xml:space="preserve"> </w:t>
            </w:r>
            <w:r>
              <w:rPr>
                <w:rFonts w:hint="eastAsia" w:ascii="仿宋" w:hAnsi="仿宋" w:eastAsia="仿宋" w:cs="仿宋"/>
                <w:b w:val="0"/>
                <w:bCs w:val="0"/>
                <w:sz w:val="24"/>
                <w:szCs w:val="24"/>
                <w:highlight w:val="none"/>
              </w:rPr>
              <w:t>5</w:t>
            </w:r>
          </w:p>
        </w:tc>
        <w:tc>
          <w:tcPr>
            <w:tcW w:w="1348" w:type="dxa"/>
            <w:tcBorders>
              <w:left w:val="single" w:color="auto" w:sz="12" w:space="0"/>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both"/>
              <w:textAlignment w:val="auto"/>
              <w:outlineLvl w:val="9"/>
              <w:rPr>
                <w:rFonts w:hint="eastAsia" w:ascii="仿宋" w:hAnsi="仿宋" w:eastAsia="仿宋" w:cs="仿宋"/>
                <w:b w:val="0"/>
                <w:bCs w:val="0"/>
                <w:sz w:val="21"/>
                <w:szCs w:val="21"/>
                <w:highlight w:val="none"/>
                <w:lang w:val="en-US" w:eastAsia="zh-CN"/>
              </w:rPr>
            </w:pPr>
            <w:r>
              <w:rPr>
                <w:rFonts w:hint="eastAsia" w:ascii="仿宋" w:hAnsi="仿宋" w:eastAsia="仿宋" w:cs="仿宋"/>
                <w:b w:val="0"/>
                <w:bCs w:val="0"/>
                <w:sz w:val="21"/>
                <w:szCs w:val="21"/>
                <w:highlight w:val="none"/>
                <w:lang w:val="en-US" w:eastAsia="zh-CN"/>
              </w:rPr>
              <w:t>开户银行及账号</w:t>
            </w:r>
          </w:p>
        </w:tc>
        <w:tc>
          <w:tcPr>
            <w:tcW w:w="3578" w:type="dxa"/>
            <w:tcBorders>
              <w:right w:val="single" w:color="auto" w:sz="12" w:space="0"/>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left"/>
              <w:textAlignment w:val="auto"/>
              <w:outlineLvl w:val="9"/>
              <w:rPr>
                <w:rFonts w:hint="eastAsia" w:ascii="仿宋" w:hAnsi="仿宋" w:eastAsia="仿宋" w:cs="仿宋"/>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trPr>
        <w:tc>
          <w:tcPr>
            <w:tcW w:w="1299" w:type="dxa"/>
            <w:tcBorders>
              <w:left w:val="single" w:color="auto" w:sz="12" w:space="0"/>
              <w:bottom w:val="single" w:color="auto" w:sz="12" w:space="0"/>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both"/>
              <w:textAlignment w:val="auto"/>
              <w:outlineLvl w:val="9"/>
              <w:rPr>
                <w:rFonts w:hint="eastAsia" w:ascii="仿宋" w:hAnsi="仿宋" w:eastAsia="仿宋" w:cs="仿宋"/>
                <w:color w:val="auto"/>
                <w:sz w:val="21"/>
                <w:szCs w:val="21"/>
                <w:highlight w:val="none"/>
                <w:vertAlign w:val="baseline"/>
                <w:lang w:val="en-US" w:eastAsia="zh-CN"/>
              </w:rPr>
            </w:pPr>
            <w:r>
              <w:rPr>
                <w:rFonts w:hint="eastAsia" w:ascii="仿宋" w:hAnsi="仿宋" w:eastAsia="仿宋" w:cs="仿宋"/>
                <w:color w:val="auto"/>
                <w:sz w:val="21"/>
                <w:szCs w:val="21"/>
                <w:highlight w:val="none"/>
                <w:vertAlign w:val="baseline"/>
                <w:lang w:val="en-US" w:eastAsia="zh-CN"/>
              </w:rPr>
              <w:t>实际办公地址邮编</w:t>
            </w:r>
          </w:p>
        </w:tc>
        <w:tc>
          <w:tcPr>
            <w:tcW w:w="3627" w:type="dxa"/>
            <w:tcBorders>
              <w:bottom w:val="single" w:color="auto" w:sz="12" w:space="0"/>
              <w:right w:val="single" w:color="auto" w:sz="12" w:space="0"/>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left"/>
              <w:textAlignment w:val="auto"/>
              <w:outlineLvl w:val="9"/>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b w:val="0"/>
                <w:bCs w:val="0"/>
                <w:sz w:val="24"/>
                <w:szCs w:val="24"/>
                <w:highlight w:val="none"/>
                <w:lang w:val="en-US" w:eastAsia="zh-CN"/>
              </w:rPr>
              <w:t>贵州省贵阳市南明区富源南路435号东方现代钢材市场1-4-67号，550005</w:t>
            </w:r>
          </w:p>
        </w:tc>
        <w:tc>
          <w:tcPr>
            <w:tcW w:w="1348" w:type="dxa"/>
            <w:tcBorders>
              <w:left w:val="single" w:color="auto" w:sz="12" w:space="0"/>
              <w:bottom w:val="single" w:color="auto" w:sz="12" w:space="0"/>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left"/>
              <w:textAlignment w:val="auto"/>
              <w:outlineLvl w:val="9"/>
              <w:rPr>
                <w:rFonts w:hint="eastAsia" w:ascii="仿宋" w:hAnsi="仿宋" w:eastAsia="仿宋" w:cs="仿宋"/>
                <w:b w:val="0"/>
                <w:bCs w:val="0"/>
                <w:sz w:val="21"/>
                <w:szCs w:val="21"/>
                <w:highlight w:val="none"/>
                <w:lang w:val="en-US" w:eastAsia="zh-CN"/>
              </w:rPr>
            </w:pPr>
            <w:r>
              <w:rPr>
                <w:rFonts w:hint="eastAsia" w:ascii="仿宋" w:hAnsi="仿宋" w:eastAsia="仿宋" w:cs="仿宋"/>
                <w:b w:val="0"/>
                <w:bCs w:val="0"/>
                <w:sz w:val="21"/>
                <w:szCs w:val="21"/>
                <w:highlight w:val="none"/>
                <w:lang w:val="en-US" w:eastAsia="zh-CN"/>
              </w:rPr>
              <w:t>实际办公地址邮编</w:t>
            </w:r>
          </w:p>
        </w:tc>
        <w:tc>
          <w:tcPr>
            <w:tcW w:w="3578" w:type="dxa"/>
            <w:tcBorders>
              <w:bottom w:val="single" w:color="auto" w:sz="12" w:space="0"/>
              <w:right w:val="single" w:color="auto" w:sz="12" w:space="0"/>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left"/>
              <w:textAlignment w:val="auto"/>
              <w:outlineLvl w:val="9"/>
              <w:rPr>
                <w:rFonts w:hint="eastAsia" w:ascii="仿宋" w:hAnsi="仿宋" w:eastAsia="仿宋" w:cs="仿宋"/>
                <w:b w:val="0"/>
                <w:bCs w:val="0"/>
                <w:sz w:val="24"/>
                <w:szCs w:val="24"/>
                <w:highlight w:val="none"/>
                <w:lang w:val="en-US" w:eastAsia="zh-CN"/>
              </w:rPr>
            </w:pPr>
          </w:p>
        </w:tc>
      </w:tr>
    </w:tbl>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仿宋" w:hAnsi="仿宋" w:eastAsia="仿宋" w:cs="仿宋"/>
          <w:b/>
          <w:bCs/>
          <w:sz w:val="28"/>
          <w:szCs w:val="28"/>
          <w:highlight w:val="none"/>
        </w:rPr>
      </w:pPr>
      <w:r>
        <w:rPr>
          <w:rFonts w:hint="eastAsia" w:ascii="仿宋" w:hAnsi="仿宋" w:eastAsia="仿宋" w:cs="仿宋"/>
          <w:b/>
          <w:bCs/>
          <w:sz w:val="28"/>
          <w:szCs w:val="28"/>
          <w:highlight w:val="none"/>
          <w:lang w:val="en-US" w:eastAsia="zh-CN"/>
        </w:rPr>
        <w:t>2 运输服务期限</w:t>
      </w:r>
      <w:r>
        <w:rPr>
          <w:rFonts w:hint="eastAsia" w:ascii="仿宋" w:hAnsi="仿宋" w:eastAsia="仿宋" w:cs="仿宋"/>
          <w:b/>
          <w:bCs/>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固定服务期限：自</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b/>
          <w:bCs/>
          <w:sz w:val="28"/>
          <w:szCs w:val="28"/>
          <w:highlight w:val="none"/>
          <w:u w:val="single"/>
          <w:lang w:val="en-US" w:eastAsia="zh-CN"/>
        </w:rPr>
        <w:t>年   月   日</w:t>
      </w:r>
      <w:r>
        <w:rPr>
          <w:rFonts w:hint="eastAsia" w:ascii="仿宋" w:hAnsi="仿宋" w:eastAsia="仿宋" w:cs="仿宋"/>
          <w:sz w:val="28"/>
          <w:szCs w:val="28"/>
          <w:highlight w:val="none"/>
          <w:lang w:val="en-US" w:eastAsia="zh-CN"/>
        </w:rPr>
        <w:t>起至</w:t>
      </w:r>
      <w:r>
        <w:rPr>
          <w:rFonts w:hint="eastAsia" w:ascii="仿宋" w:hAnsi="仿宋" w:eastAsia="仿宋" w:cs="仿宋"/>
          <w:b/>
          <w:bCs/>
          <w:sz w:val="28"/>
          <w:szCs w:val="28"/>
          <w:highlight w:val="none"/>
          <w:u w:val="single"/>
          <w:lang w:val="en-US" w:eastAsia="zh-CN"/>
        </w:rPr>
        <w:t xml:space="preserve">    年   月    日</w:t>
      </w:r>
      <w:r>
        <w:rPr>
          <w:rFonts w:hint="eastAsia" w:ascii="仿宋" w:hAnsi="仿宋" w:eastAsia="仿宋" w:cs="仿宋"/>
          <w:sz w:val="28"/>
          <w:szCs w:val="28"/>
          <w:highlight w:val="none"/>
          <w:lang w:val="en-US" w:eastAsia="zh-CN"/>
        </w:rPr>
        <w:t>止。</w:t>
      </w:r>
    </w:p>
    <w:p>
      <w:pPr>
        <w:keepNext w:val="0"/>
        <w:keepLines w:val="0"/>
        <w:pageBreakBefore w:val="0"/>
        <w:widowControl w:val="0"/>
        <w:kinsoku/>
        <w:wordWrap/>
        <w:overflowPunct/>
        <w:topLinePunct w:val="0"/>
        <w:autoSpaceDE/>
        <w:autoSpaceDN/>
        <w:bidi w:val="0"/>
        <w:adjustRightInd/>
        <w:snapToGrid/>
        <w:spacing w:line="360" w:lineRule="auto"/>
        <w:ind w:right="0" w:rightChars="0"/>
        <w:jc w:val="left"/>
        <w:textAlignment w:val="auto"/>
        <w:outlineLvl w:val="9"/>
        <w:rPr>
          <w:rFonts w:hint="eastAsia" w:ascii="仿宋" w:hAnsi="仿宋" w:eastAsia="仿宋" w:cs="仿宋"/>
          <w:b/>
          <w:sz w:val="28"/>
          <w:szCs w:val="28"/>
          <w:highlight w:val="none"/>
        </w:rPr>
      </w:pPr>
      <w:r>
        <w:rPr>
          <w:rFonts w:hint="eastAsia" w:ascii="仿宋" w:hAnsi="仿宋" w:eastAsia="仿宋" w:cs="仿宋"/>
          <w:b/>
          <w:sz w:val="28"/>
          <w:szCs w:val="28"/>
          <w:highlight w:val="none"/>
          <w:lang w:val="en-US" w:eastAsia="zh-CN"/>
        </w:rPr>
        <w:t xml:space="preserve">3 </w:t>
      </w:r>
      <w:r>
        <w:rPr>
          <w:rFonts w:hint="eastAsia" w:ascii="仿宋" w:hAnsi="仿宋" w:eastAsia="仿宋" w:cs="仿宋"/>
          <w:b/>
          <w:sz w:val="28"/>
          <w:szCs w:val="28"/>
          <w:highlight w:val="none"/>
        </w:rPr>
        <w:t>合同单价确定方式、单价条件、调价、运距确定和运输方式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jc w:val="left"/>
        <w:textAlignment w:val="auto"/>
        <w:outlineLvl w:val="9"/>
        <w:rPr>
          <w:rFonts w:hint="eastAsia" w:ascii="仿宋" w:hAnsi="仿宋" w:eastAsia="仿宋" w:cs="仿宋"/>
          <w:b/>
          <w:bCs w:val="0"/>
          <w:sz w:val="28"/>
          <w:szCs w:val="28"/>
          <w:highlight w:val="none"/>
          <w:lang w:val="en-US" w:eastAsia="zh-CN"/>
        </w:rPr>
      </w:pPr>
      <w:r>
        <w:rPr>
          <w:rFonts w:hint="eastAsia" w:ascii="仿宋" w:hAnsi="仿宋" w:eastAsia="仿宋" w:cs="仿宋"/>
          <w:b w:val="0"/>
          <w:bCs/>
          <w:sz w:val="28"/>
          <w:szCs w:val="28"/>
          <w:highlight w:val="none"/>
          <w:lang w:val="en-US" w:eastAsia="zh-CN"/>
        </w:rPr>
        <w:t>3.1、</w:t>
      </w:r>
      <w:r>
        <w:rPr>
          <w:rFonts w:hint="eastAsia" w:ascii="仿宋" w:hAnsi="仿宋" w:eastAsia="仿宋" w:cs="仿宋"/>
          <w:b/>
          <w:bCs w:val="0"/>
          <w:sz w:val="28"/>
          <w:szCs w:val="28"/>
          <w:highlight w:val="none"/>
        </w:rPr>
        <w:t>合同</w:t>
      </w:r>
      <w:r>
        <w:rPr>
          <w:rFonts w:hint="eastAsia" w:ascii="仿宋" w:hAnsi="仿宋" w:eastAsia="仿宋" w:cs="仿宋"/>
          <w:b/>
          <w:bCs w:val="0"/>
          <w:sz w:val="28"/>
          <w:szCs w:val="28"/>
          <w:highlight w:val="none"/>
          <w:lang w:eastAsia="zh-CN"/>
        </w:rPr>
        <w:t>结算</w:t>
      </w:r>
      <w:r>
        <w:rPr>
          <w:rFonts w:hint="eastAsia" w:ascii="仿宋" w:hAnsi="仿宋" w:eastAsia="仿宋" w:cs="仿宋"/>
          <w:b/>
          <w:bCs w:val="0"/>
          <w:sz w:val="28"/>
          <w:szCs w:val="28"/>
          <w:highlight w:val="none"/>
        </w:rPr>
        <w:t>单价确定方式：根据中标吨公里单价和运输距离确定具体单价，即合同结算单价=吨公里单价×运输距离，合同结算单价保留小数点后两位（四舍五入），若运输单价≦30元/吨时，按30元/吨的运输单价结算</w:t>
      </w:r>
      <w:r>
        <w:rPr>
          <w:rFonts w:hint="eastAsia" w:ascii="仿宋" w:hAnsi="仿宋" w:eastAsia="仿宋" w:cs="仿宋"/>
          <w:b/>
          <w:bCs w:val="0"/>
          <w:sz w:val="28"/>
          <w:szCs w:val="28"/>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80"/>
        <w:jc w:val="left"/>
        <w:textAlignment w:val="auto"/>
        <w:outlineLvl w:val="9"/>
        <w:rPr>
          <w:rFonts w:hint="eastAsia" w:ascii="仿宋" w:hAnsi="仿宋" w:eastAsia="仿宋" w:cs="仿宋"/>
          <w:b w:val="0"/>
          <w:bCs/>
          <w:sz w:val="28"/>
          <w:szCs w:val="28"/>
          <w:highlight w:val="none"/>
        </w:rPr>
      </w:pPr>
      <w:r>
        <w:rPr>
          <w:rFonts w:hint="eastAsia" w:ascii="仿宋" w:hAnsi="仿宋" w:eastAsia="仿宋" w:cs="仿宋"/>
          <w:b w:val="0"/>
          <w:bCs/>
          <w:sz w:val="28"/>
          <w:szCs w:val="28"/>
          <w:highlight w:val="none"/>
          <w:lang w:val="en-US" w:eastAsia="zh-CN"/>
        </w:rPr>
        <w:t>3.</w:t>
      </w:r>
      <w:r>
        <w:rPr>
          <w:rFonts w:hint="eastAsia" w:ascii="仿宋" w:hAnsi="仿宋" w:eastAsia="仿宋" w:cs="仿宋"/>
          <w:b w:val="0"/>
          <w:bCs/>
          <w:sz w:val="28"/>
          <w:szCs w:val="28"/>
          <w:highlight w:val="none"/>
        </w:rPr>
        <w:t>2、</w:t>
      </w:r>
      <w:r>
        <w:rPr>
          <w:rFonts w:hint="eastAsia" w:ascii="仿宋" w:hAnsi="仿宋" w:eastAsia="仿宋" w:cs="仿宋"/>
          <w:b w:val="0"/>
          <w:bCs/>
          <w:sz w:val="28"/>
          <w:szCs w:val="28"/>
          <w:highlight w:val="none"/>
          <w:lang w:val="en-US" w:eastAsia="zh-CN"/>
        </w:rPr>
        <w:t>吨公里单价</w:t>
      </w:r>
      <w:r>
        <w:rPr>
          <w:rFonts w:hint="eastAsia" w:ascii="仿宋" w:hAnsi="仿宋" w:eastAsia="仿宋" w:cs="仿宋"/>
          <w:b w:val="0"/>
          <w:bCs/>
          <w:sz w:val="28"/>
          <w:szCs w:val="28"/>
          <w:highlight w:val="none"/>
        </w:rPr>
        <w:t>：</w:t>
      </w:r>
    </w:p>
    <w:tbl>
      <w:tblPr>
        <w:tblStyle w:val="22"/>
        <w:tblW w:w="9818" w:type="dxa"/>
        <w:jc w:val="center"/>
        <w:tblLayout w:type="fixed"/>
        <w:tblCellMar>
          <w:top w:w="0" w:type="dxa"/>
          <w:left w:w="108" w:type="dxa"/>
          <w:bottom w:w="0" w:type="dxa"/>
          <w:right w:w="108" w:type="dxa"/>
        </w:tblCellMar>
      </w:tblPr>
      <w:tblGrid>
        <w:gridCol w:w="1833"/>
        <w:gridCol w:w="3998"/>
        <w:gridCol w:w="2650"/>
        <w:gridCol w:w="1337"/>
      </w:tblGrid>
      <w:tr>
        <w:tblPrEx>
          <w:tblCellMar>
            <w:top w:w="0" w:type="dxa"/>
            <w:left w:w="108" w:type="dxa"/>
            <w:bottom w:w="0" w:type="dxa"/>
            <w:right w:w="108" w:type="dxa"/>
          </w:tblCellMar>
        </w:tblPrEx>
        <w:trPr>
          <w:cantSplit/>
          <w:trHeight w:val="973" w:hRule="atLeast"/>
          <w:jc w:val="center"/>
        </w:trPr>
        <w:tc>
          <w:tcPr>
            <w:tcW w:w="1833"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运输路况</w:t>
            </w:r>
          </w:p>
        </w:tc>
        <w:tc>
          <w:tcPr>
            <w:tcW w:w="3998"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仿宋" w:hAnsi="仿宋" w:eastAsia="仿宋" w:cs="仿宋"/>
                <w:sz w:val="28"/>
                <w:szCs w:val="28"/>
                <w:highlight w:val="none"/>
              </w:rPr>
            </w:pPr>
            <w:r>
              <w:rPr>
                <w:rFonts w:hint="eastAsia" w:ascii="仿宋" w:hAnsi="仿宋" w:eastAsia="仿宋" w:cs="仿宋"/>
                <w:b w:val="0"/>
                <w:bCs/>
                <w:sz w:val="28"/>
                <w:szCs w:val="28"/>
                <w:highlight w:val="none"/>
              </w:rPr>
              <w:t>运输距离</w:t>
            </w:r>
            <w:r>
              <w:rPr>
                <w:rFonts w:hint="eastAsia" w:ascii="仿宋" w:hAnsi="仿宋" w:eastAsia="仿宋" w:cs="仿宋"/>
                <w:b w:val="0"/>
                <w:bCs/>
                <w:sz w:val="28"/>
                <w:szCs w:val="28"/>
                <w:highlight w:val="none"/>
                <w:lang w:val="en-US" w:eastAsia="zh-CN"/>
              </w:rPr>
              <w:t>区间段</w:t>
            </w:r>
          </w:p>
        </w:tc>
        <w:tc>
          <w:tcPr>
            <w:tcW w:w="2650"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仿宋" w:hAnsi="仿宋" w:eastAsia="仿宋" w:cs="仿宋"/>
                <w:sz w:val="28"/>
                <w:szCs w:val="28"/>
                <w:highlight w:val="none"/>
              </w:rPr>
            </w:pPr>
            <w:r>
              <w:rPr>
                <w:rFonts w:hint="eastAsia" w:ascii="仿宋" w:hAnsi="仿宋" w:eastAsia="仿宋" w:cs="仿宋"/>
                <w:sz w:val="28"/>
                <w:szCs w:val="28"/>
                <w:highlight w:val="none"/>
                <w:lang w:eastAsia="zh-CN"/>
              </w:rPr>
              <w:t>吨</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lang w:eastAsia="zh-CN"/>
              </w:rPr>
              <w:t>公里单价</w:t>
            </w:r>
            <w:r>
              <w:rPr>
                <w:rFonts w:hint="eastAsia" w:ascii="仿宋" w:hAnsi="仿宋" w:eastAsia="仿宋" w:cs="仿宋"/>
                <w:sz w:val="28"/>
                <w:szCs w:val="28"/>
                <w:highlight w:val="none"/>
              </w:rPr>
              <w:t>（元/吨·公里）</w:t>
            </w:r>
          </w:p>
        </w:tc>
        <w:tc>
          <w:tcPr>
            <w:tcW w:w="1337" w:type="dxa"/>
            <w:tcBorders>
              <w:top w:val="single" w:color="auto" w:sz="4" w:space="0"/>
              <w:left w:val="nil"/>
              <w:bottom w:val="single" w:color="auto" w:sz="4" w:space="0"/>
              <w:right w:val="single" w:color="auto" w:sz="4" w:space="0"/>
            </w:tcBorders>
            <w:noWrap w:val="0"/>
            <w:vAlign w:val="center"/>
          </w:tcPr>
          <w:p>
            <w:pPr>
              <w:spacing w:line="240" w:lineRule="auto"/>
              <w:ind w:firstLine="280" w:firstLineChars="100"/>
              <w:jc w:val="both"/>
              <w:rPr>
                <w:rFonts w:hint="eastAsia" w:ascii="仿宋" w:hAnsi="仿宋" w:eastAsia="仿宋" w:cs="仿宋"/>
                <w:sz w:val="28"/>
                <w:szCs w:val="28"/>
                <w:highlight w:val="none"/>
              </w:rPr>
            </w:pPr>
            <w:r>
              <w:rPr>
                <w:rFonts w:hint="eastAsia" w:ascii="仿宋" w:hAnsi="仿宋" w:eastAsia="仿宋" w:cs="仿宋"/>
                <w:sz w:val="28"/>
                <w:szCs w:val="28"/>
                <w:highlight w:val="none"/>
              </w:rPr>
              <w:t>备注</w:t>
            </w:r>
          </w:p>
        </w:tc>
      </w:tr>
      <w:tr>
        <w:tblPrEx>
          <w:tblCellMar>
            <w:top w:w="0" w:type="dxa"/>
            <w:left w:w="108" w:type="dxa"/>
            <w:bottom w:w="0" w:type="dxa"/>
            <w:right w:w="108" w:type="dxa"/>
          </w:tblCellMar>
        </w:tblPrEx>
        <w:trPr>
          <w:cantSplit/>
          <w:trHeight w:val="613" w:hRule="atLeast"/>
          <w:jc w:val="center"/>
        </w:trPr>
        <w:tc>
          <w:tcPr>
            <w:tcW w:w="1833"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主干道</w:t>
            </w:r>
            <w:r>
              <w:rPr>
                <w:rFonts w:hint="eastAsia" w:ascii="仿宋" w:hAnsi="仿宋" w:eastAsia="仿宋" w:cs="仿宋"/>
                <w:sz w:val="28"/>
                <w:szCs w:val="28"/>
                <w:highlight w:val="none"/>
                <w:lang w:val="en-US" w:eastAsia="zh-CN"/>
              </w:rPr>
              <w:t>/便道</w:t>
            </w:r>
          </w:p>
        </w:tc>
        <w:tc>
          <w:tcPr>
            <w:tcW w:w="3998"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实测距离&lt;80公里</w:t>
            </w:r>
          </w:p>
        </w:tc>
        <w:tc>
          <w:tcPr>
            <w:tcW w:w="26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 w:hAnsi="仿宋" w:eastAsia="仿宋" w:cs="仿宋"/>
                <w:sz w:val="28"/>
                <w:szCs w:val="28"/>
                <w:highlight w:val="none"/>
                <w:lang w:val="en-US" w:eastAsia="zh-CN"/>
              </w:rPr>
            </w:pPr>
          </w:p>
        </w:tc>
        <w:tc>
          <w:tcPr>
            <w:tcW w:w="1337" w:type="dxa"/>
            <w:tcBorders>
              <w:top w:val="single" w:color="auto" w:sz="4" w:space="0"/>
              <w:left w:val="nil"/>
              <w:bottom w:val="single" w:color="auto" w:sz="4" w:space="0"/>
              <w:right w:val="single" w:color="auto" w:sz="4" w:space="0"/>
            </w:tcBorders>
            <w:noWrap w:val="0"/>
            <w:vAlign w:val="center"/>
          </w:tcPr>
          <w:p>
            <w:pPr>
              <w:spacing w:line="240" w:lineRule="auto"/>
              <w:ind w:firstLine="560" w:firstLineChars="200"/>
              <w:jc w:val="center"/>
              <w:rPr>
                <w:rFonts w:hint="eastAsia" w:ascii="仿宋" w:hAnsi="仿宋" w:eastAsia="仿宋" w:cs="仿宋"/>
                <w:sz w:val="28"/>
                <w:szCs w:val="28"/>
                <w:highlight w:val="none"/>
              </w:rPr>
            </w:pPr>
          </w:p>
        </w:tc>
      </w:tr>
      <w:tr>
        <w:tblPrEx>
          <w:tblCellMar>
            <w:top w:w="0" w:type="dxa"/>
            <w:left w:w="108" w:type="dxa"/>
            <w:bottom w:w="0" w:type="dxa"/>
            <w:right w:w="108" w:type="dxa"/>
          </w:tblCellMar>
        </w:tblPrEx>
        <w:trPr>
          <w:cantSplit/>
          <w:trHeight w:val="613" w:hRule="atLeast"/>
          <w:jc w:val="center"/>
        </w:trPr>
        <w:tc>
          <w:tcPr>
            <w:tcW w:w="1833"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主干道</w:t>
            </w:r>
            <w:r>
              <w:rPr>
                <w:rFonts w:hint="eastAsia" w:ascii="仿宋" w:hAnsi="仿宋" w:eastAsia="仿宋" w:cs="仿宋"/>
                <w:sz w:val="28"/>
                <w:szCs w:val="28"/>
                <w:highlight w:val="none"/>
                <w:lang w:val="en-US" w:eastAsia="zh-CN"/>
              </w:rPr>
              <w:t>/便道</w:t>
            </w:r>
          </w:p>
        </w:tc>
        <w:tc>
          <w:tcPr>
            <w:tcW w:w="3998"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80公里≦实测距离&lt;200公里</w:t>
            </w:r>
          </w:p>
        </w:tc>
        <w:tc>
          <w:tcPr>
            <w:tcW w:w="26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 w:hAnsi="仿宋" w:eastAsia="仿宋" w:cs="仿宋"/>
                <w:sz w:val="28"/>
                <w:szCs w:val="28"/>
                <w:highlight w:val="none"/>
                <w:lang w:val="en-US" w:eastAsia="zh-CN"/>
              </w:rPr>
            </w:pPr>
          </w:p>
        </w:tc>
        <w:tc>
          <w:tcPr>
            <w:tcW w:w="1337" w:type="dxa"/>
            <w:tcBorders>
              <w:top w:val="single" w:color="auto" w:sz="4" w:space="0"/>
              <w:left w:val="nil"/>
              <w:bottom w:val="single" w:color="auto" w:sz="4" w:space="0"/>
              <w:right w:val="single" w:color="auto" w:sz="4" w:space="0"/>
            </w:tcBorders>
            <w:noWrap w:val="0"/>
            <w:vAlign w:val="center"/>
          </w:tcPr>
          <w:p>
            <w:pPr>
              <w:spacing w:line="240" w:lineRule="auto"/>
              <w:ind w:firstLine="560" w:firstLineChars="200"/>
              <w:jc w:val="center"/>
              <w:rPr>
                <w:rFonts w:hint="eastAsia" w:ascii="仿宋" w:hAnsi="仿宋" w:eastAsia="仿宋" w:cs="仿宋"/>
                <w:sz w:val="28"/>
                <w:szCs w:val="28"/>
                <w:highlight w:val="none"/>
              </w:rPr>
            </w:pPr>
          </w:p>
        </w:tc>
      </w:tr>
      <w:tr>
        <w:tblPrEx>
          <w:tblCellMar>
            <w:top w:w="0" w:type="dxa"/>
            <w:left w:w="108" w:type="dxa"/>
            <w:bottom w:w="0" w:type="dxa"/>
            <w:right w:w="108" w:type="dxa"/>
          </w:tblCellMar>
        </w:tblPrEx>
        <w:trPr>
          <w:cantSplit/>
          <w:trHeight w:val="626" w:hRule="atLeast"/>
          <w:jc w:val="center"/>
        </w:trPr>
        <w:tc>
          <w:tcPr>
            <w:tcW w:w="1833"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主干道</w:t>
            </w:r>
            <w:r>
              <w:rPr>
                <w:rFonts w:hint="eastAsia" w:ascii="仿宋" w:hAnsi="仿宋" w:eastAsia="仿宋" w:cs="仿宋"/>
                <w:sz w:val="28"/>
                <w:szCs w:val="28"/>
                <w:highlight w:val="none"/>
                <w:lang w:val="en-US" w:eastAsia="zh-CN"/>
              </w:rPr>
              <w:t>/便道</w:t>
            </w:r>
          </w:p>
        </w:tc>
        <w:tc>
          <w:tcPr>
            <w:tcW w:w="3998"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200公里≦实测距离</w:t>
            </w:r>
          </w:p>
        </w:tc>
        <w:tc>
          <w:tcPr>
            <w:tcW w:w="26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 w:hAnsi="仿宋" w:eastAsia="仿宋" w:cs="仿宋"/>
                <w:sz w:val="28"/>
                <w:szCs w:val="28"/>
                <w:highlight w:val="none"/>
                <w:lang w:val="en-US" w:eastAsia="zh-CN"/>
              </w:rPr>
            </w:pPr>
          </w:p>
        </w:tc>
        <w:tc>
          <w:tcPr>
            <w:tcW w:w="1337" w:type="dxa"/>
            <w:tcBorders>
              <w:top w:val="single" w:color="auto" w:sz="4" w:space="0"/>
              <w:left w:val="nil"/>
              <w:bottom w:val="single" w:color="auto" w:sz="4" w:space="0"/>
              <w:right w:val="single" w:color="auto" w:sz="4" w:space="0"/>
            </w:tcBorders>
            <w:noWrap w:val="0"/>
            <w:vAlign w:val="center"/>
          </w:tcPr>
          <w:p>
            <w:pPr>
              <w:spacing w:line="240" w:lineRule="auto"/>
              <w:ind w:firstLine="560" w:firstLineChars="200"/>
              <w:jc w:val="center"/>
              <w:rPr>
                <w:rFonts w:hint="eastAsia" w:ascii="仿宋" w:hAnsi="仿宋" w:eastAsia="仿宋" w:cs="仿宋"/>
                <w:sz w:val="28"/>
                <w:szCs w:val="28"/>
                <w:highlight w:val="none"/>
              </w:rPr>
            </w:pPr>
          </w:p>
        </w:tc>
      </w:tr>
    </w:tbl>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jc w:val="left"/>
        <w:textAlignment w:val="auto"/>
        <w:outlineLvl w:val="9"/>
        <w:rPr>
          <w:rFonts w:hint="eastAsia" w:ascii="仿宋" w:hAnsi="仿宋" w:eastAsia="仿宋" w:cs="仿宋"/>
          <w:b w:val="0"/>
          <w:bCs/>
          <w:sz w:val="28"/>
          <w:szCs w:val="28"/>
          <w:highlight w:val="none"/>
          <w:lang w:val="en-US" w:eastAsia="zh-CN"/>
        </w:rPr>
      </w:pPr>
      <w:r>
        <w:rPr>
          <w:rFonts w:hint="eastAsia" w:ascii="仿宋" w:hAnsi="仿宋" w:eastAsia="仿宋" w:cs="仿宋"/>
          <w:b w:val="0"/>
          <w:bCs/>
          <w:sz w:val="28"/>
          <w:szCs w:val="28"/>
          <w:highlight w:val="none"/>
          <w:lang w:val="en-US" w:eastAsia="zh-CN"/>
        </w:rPr>
        <w:t>3.2.1、表中吨公里单价仅限于甲方</w:t>
      </w:r>
      <w:r>
        <w:rPr>
          <w:rFonts w:hint="eastAsia" w:ascii="仿宋" w:hAnsi="仿宋" w:eastAsia="仿宋" w:cs="仿宋"/>
          <w:b/>
          <w:bCs w:val="0"/>
          <w:sz w:val="28"/>
          <w:szCs w:val="28"/>
          <w:highlight w:val="none"/>
          <w:u w:val="single"/>
          <w:lang w:val="en-US" w:eastAsia="zh-CN"/>
        </w:rPr>
        <w:t xml:space="preserve">贵州区域内甲方钢材类及钢材制品类的运输 </w:t>
      </w:r>
      <w:r>
        <w:rPr>
          <w:rFonts w:hint="eastAsia" w:ascii="仿宋" w:hAnsi="仿宋" w:eastAsia="仿宋" w:cs="仿宋"/>
          <w:b w:val="0"/>
          <w:bCs/>
          <w:sz w:val="28"/>
          <w:szCs w:val="28"/>
          <w:highlight w:val="none"/>
          <w:lang w:val="en-US" w:eastAsia="zh-CN"/>
        </w:rPr>
        <w:t>。</w:t>
      </w:r>
      <w:r>
        <w:rPr>
          <w:rFonts w:hint="eastAsia" w:ascii="仿宋" w:hAnsi="仿宋" w:eastAsia="仿宋" w:cs="仿宋"/>
          <w:b/>
          <w:bCs/>
          <w:sz w:val="28"/>
          <w:szCs w:val="28"/>
          <w:highlight w:val="none"/>
          <w:lang w:val="en-US" w:eastAsia="zh-CN"/>
        </w:rPr>
        <w:t>若发货地点为六盘水首钢水城钢铁（集团）有限责任公司钢厂提货，投标人需支付3元/吨的系统平台使用费，此平台使用费投标人包含在上表内。</w:t>
      </w:r>
    </w:p>
    <w:p>
      <w:pPr>
        <w:spacing w:line="360" w:lineRule="auto"/>
        <w:rPr>
          <w:rFonts w:hint="eastAsia" w:ascii="仿宋" w:hAnsi="仿宋" w:eastAsia="仿宋" w:cs="仿宋"/>
          <w:sz w:val="28"/>
          <w:szCs w:val="28"/>
          <w:highlight w:val="none"/>
          <w:shd w:val="clear" w:color="auto" w:fill="FFFFFF"/>
        </w:rPr>
      </w:pPr>
      <w:r>
        <w:rPr>
          <w:rFonts w:hint="eastAsia" w:ascii="仿宋" w:hAnsi="仿宋" w:eastAsia="仿宋" w:cs="仿宋"/>
          <w:sz w:val="28"/>
          <w:szCs w:val="28"/>
          <w:highlight w:val="none"/>
          <w:shd w:val="clear" w:color="auto" w:fill="FFFFFF"/>
        </w:rPr>
        <w:t xml:space="preserve">    </w:t>
      </w:r>
      <w:r>
        <w:rPr>
          <w:rFonts w:hint="eastAsia" w:ascii="仿宋" w:hAnsi="仿宋" w:eastAsia="仿宋" w:cs="仿宋"/>
          <w:b w:val="0"/>
          <w:bCs/>
          <w:sz w:val="28"/>
          <w:szCs w:val="28"/>
          <w:highlight w:val="none"/>
          <w:lang w:val="en-US" w:eastAsia="zh-CN"/>
        </w:rPr>
        <w:t>3.2.2</w:t>
      </w:r>
      <w:r>
        <w:rPr>
          <w:rFonts w:hint="eastAsia" w:ascii="仿宋" w:hAnsi="仿宋" w:eastAsia="仿宋" w:cs="仿宋"/>
          <w:sz w:val="28"/>
          <w:szCs w:val="28"/>
          <w:highlight w:val="none"/>
          <w:shd w:val="clear" w:color="auto" w:fill="FFFFFF"/>
        </w:rPr>
        <w:t>当“实际距离×实际运输单价≦前一临界点距离×前一对应运输单价时，取前临界点距离×运输单价＝运输单价（作为结算单价）</w:t>
      </w:r>
      <w:r>
        <w:rPr>
          <w:rFonts w:hint="eastAsia" w:ascii="仿宋" w:hAnsi="仿宋" w:eastAsia="仿宋" w:cs="仿宋"/>
          <w:sz w:val="28"/>
          <w:szCs w:val="28"/>
          <w:highlight w:val="none"/>
          <w:shd w:val="clear" w:color="auto" w:fill="FFFFFF"/>
          <w:lang w:eastAsia="zh-CN"/>
        </w:rPr>
        <w:t>，当最终运输单价</w:t>
      </w:r>
      <w:r>
        <w:rPr>
          <w:rFonts w:hint="eastAsia" w:ascii="仿宋" w:hAnsi="仿宋" w:eastAsia="仿宋" w:cs="仿宋"/>
          <w:sz w:val="28"/>
          <w:szCs w:val="28"/>
          <w:highlight w:val="none"/>
          <w:shd w:val="clear" w:color="auto" w:fill="FFFFFF"/>
          <w:lang w:val="en-US"/>
        </w:rPr>
        <w:t>≦</w:t>
      </w:r>
      <w:r>
        <w:rPr>
          <w:rFonts w:hint="eastAsia" w:ascii="仿宋" w:hAnsi="仿宋" w:eastAsia="仿宋" w:cs="仿宋"/>
          <w:sz w:val="28"/>
          <w:szCs w:val="28"/>
          <w:highlight w:val="none"/>
          <w:shd w:val="clear" w:color="auto" w:fill="FFFFFF"/>
          <w:lang w:val="en-US" w:eastAsia="zh-CN"/>
        </w:rPr>
        <w:t>30元/吨时，按30元/吨作为合同的最终运输单价</w:t>
      </w:r>
      <w:r>
        <w:rPr>
          <w:rFonts w:hint="eastAsia" w:ascii="仿宋" w:hAnsi="仿宋" w:eastAsia="仿宋" w:cs="仿宋"/>
          <w:sz w:val="28"/>
          <w:szCs w:val="28"/>
          <w:highlight w:val="none"/>
          <w:shd w:val="clear" w:color="auto" w:fill="FFFFFF"/>
        </w:rPr>
        <w:t>。</w:t>
      </w:r>
    </w:p>
    <w:p>
      <w:pPr>
        <w:pStyle w:val="2"/>
        <w:spacing w:line="360" w:lineRule="auto"/>
        <w:rPr>
          <w:rFonts w:hint="eastAsia" w:ascii="仿宋" w:hAnsi="仿宋" w:eastAsia="仿宋" w:cs="仿宋"/>
          <w:sz w:val="28"/>
          <w:szCs w:val="28"/>
          <w:highlight w:val="none"/>
        </w:rPr>
      </w:pPr>
      <w:r>
        <w:rPr>
          <w:rFonts w:hint="eastAsia" w:ascii="仿宋" w:hAnsi="仿宋" w:eastAsia="仿宋" w:cs="仿宋"/>
          <w:sz w:val="28"/>
          <w:szCs w:val="28"/>
          <w:highlight w:val="none"/>
        </w:rPr>
        <w:t>3.2.</w:t>
      </w:r>
      <w:r>
        <w:rPr>
          <w:rFonts w:hint="eastAsia" w:ascii="仿宋" w:hAnsi="仿宋" w:eastAsia="仿宋" w:cs="仿宋"/>
          <w:sz w:val="28"/>
          <w:szCs w:val="28"/>
          <w:highlight w:val="none"/>
          <w:lang w:val="en-US" w:eastAsia="zh-CN"/>
        </w:rPr>
        <w:t>3</w:t>
      </w:r>
      <w:r>
        <w:rPr>
          <w:rFonts w:hint="eastAsia" w:ascii="仿宋" w:hAnsi="仿宋" w:eastAsia="仿宋" w:cs="仿宋"/>
          <w:sz w:val="28"/>
          <w:szCs w:val="28"/>
          <w:highlight w:val="none"/>
        </w:rPr>
        <w:t>、本单价包含了运输费、税费（专用增值税发票）、管理费、劳务费、保险费和其他在运输劳务执行过程中产生的所有未考虑到位的费用。</w:t>
      </w:r>
    </w:p>
    <w:p>
      <w:pPr>
        <w:pStyle w:val="2"/>
        <w:spacing w:line="360" w:lineRule="auto"/>
        <w:rPr>
          <w:rFonts w:hint="eastAsia" w:ascii="仿宋" w:hAnsi="仿宋" w:eastAsia="仿宋" w:cs="仿宋"/>
          <w:b/>
          <w:bCs/>
          <w:sz w:val="28"/>
          <w:szCs w:val="28"/>
          <w:highlight w:val="none"/>
          <w:lang w:eastAsia="zh-CN"/>
        </w:rPr>
      </w:pPr>
      <w:r>
        <w:rPr>
          <w:rFonts w:hint="eastAsia" w:ascii="仿宋" w:hAnsi="仿宋" w:eastAsia="仿宋" w:cs="仿宋"/>
          <w:b/>
          <w:bCs/>
          <w:sz w:val="28"/>
          <w:szCs w:val="28"/>
          <w:highlight w:val="none"/>
          <w:lang w:eastAsia="zh-CN"/>
        </w:rPr>
        <w:t>3.3、</w:t>
      </w:r>
      <w:r>
        <w:rPr>
          <w:rFonts w:hint="eastAsia" w:ascii="仿宋" w:hAnsi="仿宋" w:eastAsia="仿宋" w:cs="仿宋"/>
          <w:b/>
          <w:bCs/>
          <w:sz w:val="28"/>
          <w:szCs w:val="28"/>
          <w:highlight w:val="none"/>
          <w:lang w:val="en-US" w:eastAsia="zh-CN"/>
        </w:rPr>
        <w:t>运距确认</w:t>
      </w:r>
      <w:r>
        <w:rPr>
          <w:rFonts w:hint="eastAsia" w:ascii="仿宋" w:hAnsi="仿宋" w:eastAsia="仿宋" w:cs="仿宋"/>
          <w:b/>
          <w:bCs/>
          <w:sz w:val="28"/>
          <w:szCs w:val="28"/>
          <w:highlight w:val="none"/>
          <w:lang w:eastAsia="zh-CN"/>
        </w:rPr>
        <w:t>：</w:t>
      </w:r>
    </w:p>
    <w:p>
      <w:pPr>
        <w:pStyle w:val="2"/>
        <w:keepNext w:val="0"/>
        <w:keepLines w:val="0"/>
        <w:pageBreakBefore w:val="0"/>
        <w:widowControl w:val="0"/>
        <w:kinsoku/>
        <w:wordWrap/>
        <w:overflowPunct/>
        <w:topLinePunct w:val="0"/>
        <w:autoSpaceDE w:val="0"/>
        <w:autoSpaceDN w:val="0"/>
        <w:bidi w:val="0"/>
        <w:adjustRightInd/>
        <w:snapToGrid/>
        <w:spacing w:line="360" w:lineRule="auto"/>
        <w:ind w:left="0" w:firstLine="562" w:firstLineChars="200"/>
        <w:textAlignment w:val="auto"/>
        <w:rPr>
          <w:rFonts w:hint="eastAsia" w:ascii="仿宋" w:hAnsi="仿宋" w:eastAsia="仿宋" w:cs="仿宋"/>
          <w:b/>
          <w:bCs/>
          <w:sz w:val="28"/>
          <w:szCs w:val="28"/>
          <w:highlight w:val="none"/>
          <w:lang w:eastAsia="zh-CN"/>
        </w:rPr>
      </w:pPr>
      <w:r>
        <w:rPr>
          <w:rFonts w:hint="eastAsia" w:ascii="仿宋" w:hAnsi="仿宋" w:eastAsia="仿宋" w:cs="仿宋"/>
          <w:b/>
          <w:bCs/>
          <w:sz w:val="28"/>
          <w:szCs w:val="28"/>
          <w:highlight w:val="none"/>
          <w:lang w:eastAsia="zh-CN"/>
        </w:rPr>
        <w:t>1、本合同有效期内，由甲方、乙方、甲方所供项目方三方按本合同约定的运距确认原则进行实测，须以甲乙双方及甲方所供项目经办人签字盖章确认的运距确认单为准，运距确认单中应明确运输路线。</w:t>
      </w:r>
    </w:p>
    <w:p>
      <w:pPr>
        <w:pStyle w:val="2"/>
        <w:keepNext w:val="0"/>
        <w:keepLines w:val="0"/>
        <w:pageBreakBefore w:val="0"/>
        <w:widowControl w:val="0"/>
        <w:kinsoku/>
        <w:wordWrap/>
        <w:overflowPunct/>
        <w:topLinePunct w:val="0"/>
        <w:autoSpaceDE w:val="0"/>
        <w:autoSpaceDN w:val="0"/>
        <w:bidi w:val="0"/>
        <w:adjustRightInd/>
        <w:snapToGrid/>
        <w:spacing w:line="360" w:lineRule="auto"/>
        <w:ind w:left="0" w:firstLine="562" w:firstLineChars="200"/>
        <w:textAlignment w:val="auto"/>
        <w:rPr>
          <w:rFonts w:hint="eastAsia" w:ascii="仿宋" w:hAnsi="仿宋" w:eastAsia="仿宋" w:cs="仿宋"/>
          <w:b/>
          <w:bCs/>
          <w:sz w:val="28"/>
          <w:szCs w:val="28"/>
          <w:highlight w:val="none"/>
          <w:lang w:eastAsia="zh-CN"/>
        </w:rPr>
      </w:pPr>
      <w:r>
        <w:rPr>
          <w:rFonts w:hint="eastAsia" w:ascii="仿宋" w:hAnsi="仿宋" w:eastAsia="仿宋" w:cs="仿宋"/>
          <w:b/>
          <w:bCs/>
          <w:sz w:val="28"/>
          <w:szCs w:val="28"/>
          <w:highlight w:val="none"/>
          <w:lang w:eastAsia="zh-CN"/>
        </w:rPr>
        <w:t>2、运距确认原则为：高速公路优先，国、省、县、乡道其次，施工便道再次的原则，各投标人报价时应综合考虑国家相应的运输政策，不再因国家超限超载政策变动对运输价格进行调整，运输过程中除不可抗力因素外不再进行调整运距。</w:t>
      </w:r>
    </w:p>
    <w:p>
      <w:pPr>
        <w:pStyle w:val="2"/>
        <w:spacing w:line="360" w:lineRule="auto"/>
        <w:rPr>
          <w:rFonts w:hint="eastAsia" w:ascii="仿宋" w:hAnsi="仿宋" w:eastAsia="仿宋" w:cs="仿宋"/>
          <w:b/>
          <w:bCs/>
          <w:sz w:val="28"/>
          <w:szCs w:val="28"/>
          <w:highlight w:val="none"/>
          <w:lang w:eastAsia="zh-CN"/>
        </w:rPr>
      </w:pPr>
    </w:p>
    <w:p>
      <w:pPr>
        <w:keepNext w:val="0"/>
        <w:keepLines w:val="0"/>
        <w:pageBreakBefore w:val="0"/>
        <w:widowControl w:val="0"/>
        <w:kinsoku/>
        <w:wordWrap/>
        <w:overflowPunct/>
        <w:topLinePunct w:val="0"/>
        <w:autoSpaceDE/>
        <w:autoSpaceDN/>
        <w:bidi w:val="0"/>
        <w:spacing w:line="360" w:lineRule="auto"/>
        <w:ind w:right="0" w:rightChars="0"/>
        <w:jc w:val="both"/>
        <w:textAlignment w:val="auto"/>
        <w:outlineLvl w:val="9"/>
        <w:rPr>
          <w:rFonts w:hint="eastAsia" w:ascii="仿宋" w:hAnsi="仿宋" w:eastAsia="仿宋" w:cs="仿宋"/>
          <w:b w:val="0"/>
          <w:bCs/>
          <w:sz w:val="28"/>
          <w:szCs w:val="28"/>
          <w:highlight w:val="none"/>
          <w:lang w:val="en-US" w:eastAsia="zh-CN"/>
        </w:rPr>
      </w:pPr>
      <w:r>
        <w:rPr>
          <w:rFonts w:hint="eastAsia" w:ascii="仿宋" w:hAnsi="仿宋" w:eastAsia="仿宋" w:cs="仿宋"/>
          <w:b/>
          <w:bCs w:val="0"/>
          <w:sz w:val="28"/>
          <w:szCs w:val="28"/>
          <w:highlight w:val="none"/>
          <w:lang w:val="en-US" w:eastAsia="zh-CN"/>
        </w:rPr>
        <w:t>4 结算方式、履约（货物）保证金和付款条件</w:t>
      </w:r>
    </w:p>
    <w:p>
      <w:pPr>
        <w:keepNext w:val="0"/>
        <w:keepLines w:val="0"/>
        <w:pageBreakBefore w:val="0"/>
        <w:widowControl w:val="0"/>
        <w:kinsoku/>
        <w:wordWrap/>
        <w:overflowPunct/>
        <w:topLinePunct w:val="0"/>
        <w:autoSpaceDE/>
        <w:autoSpaceDN/>
        <w:bidi w:val="0"/>
        <w:spacing w:line="360" w:lineRule="auto"/>
        <w:ind w:right="0" w:rightChars="0" w:firstLine="560" w:firstLineChars="200"/>
        <w:jc w:val="both"/>
        <w:textAlignment w:val="auto"/>
        <w:outlineLvl w:val="9"/>
        <w:rPr>
          <w:rFonts w:hint="eastAsia" w:ascii="仿宋" w:hAnsi="仿宋" w:eastAsia="仿宋" w:cs="仿宋"/>
          <w:b/>
          <w:bCs w:val="0"/>
          <w:sz w:val="28"/>
          <w:szCs w:val="28"/>
          <w:highlight w:val="none"/>
          <w:lang w:val="en-US" w:eastAsia="zh-CN"/>
        </w:rPr>
      </w:pPr>
      <w:r>
        <w:rPr>
          <w:rFonts w:hint="eastAsia" w:ascii="仿宋" w:hAnsi="仿宋" w:eastAsia="仿宋" w:cs="仿宋"/>
          <w:b w:val="0"/>
          <w:bCs/>
          <w:sz w:val="28"/>
          <w:szCs w:val="28"/>
          <w:highlight w:val="none"/>
          <w:lang w:val="en-US" w:eastAsia="zh-CN"/>
        </w:rPr>
        <w:t>4.1、</w:t>
      </w:r>
      <w:r>
        <w:rPr>
          <w:rFonts w:hint="eastAsia" w:ascii="仿宋" w:hAnsi="仿宋" w:eastAsia="仿宋" w:cs="仿宋"/>
          <w:b/>
          <w:bCs w:val="0"/>
          <w:sz w:val="28"/>
          <w:szCs w:val="28"/>
          <w:highlight w:val="none"/>
          <w:lang w:val="en-US" w:eastAsia="zh-CN"/>
        </w:rPr>
        <w:t>结算方式：每月25日为结算日期，结算上月26日至当月25日的运输量，结算数量以甲方出库数量进行结算，出库数量与验收数量不一致时，磅差超过甲方开单的单车数量3‰时由乙方承担相应的磅差，以最终双方确定的数量进行结算。</w:t>
      </w:r>
    </w:p>
    <w:p>
      <w:pPr>
        <w:keepNext w:val="0"/>
        <w:keepLines w:val="0"/>
        <w:pageBreakBefore w:val="0"/>
        <w:widowControl w:val="0"/>
        <w:kinsoku/>
        <w:wordWrap/>
        <w:overflowPunct/>
        <w:topLinePunct w:val="0"/>
        <w:autoSpaceDE/>
        <w:autoSpaceDN/>
        <w:bidi w:val="0"/>
        <w:spacing w:line="360" w:lineRule="auto"/>
        <w:ind w:left="0" w:leftChars="0" w:right="0" w:rightChars="0" w:firstLine="560" w:firstLineChars="200"/>
        <w:jc w:val="both"/>
        <w:textAlignment w:val="auto"/>
        <w:outlineLvl w:val="9"/>
        <w:rPr>
          <w:rFonts w:hint="eastAsia" w:ascii="仿宋" w:hAnsi="仿宋" w:eastAsia="仿宋" w:cs="仿宋"/>
          <w:b/>
          <w:bCs w:val="0"/>
          <w:sz w:val="28"/>
          <w:szCs w:val="28"/>
          <w:highlight w:val="none"/>
          <w:lang w:val="en-US" w:eastAsia="zh-CN"/>
        </w:rPr>
      </w:pPr>
      <w:r>
        <w:rPr>
          <w:rFonts w:hint="eastAsia" w:ascii="仿宋" w:hAnsi="仿宋" w:eastAsia="仿宋" w:cs="仿宋"/>
          <w:b w:val="0"/>
          <w:bCs/>
          <w:sz w:val="28"/>
          <w:szCs w:val="28"/>
          <w:highlight w:val="none"/>
          <w:lang w:val="en-US" w:eastAsia="zh-CN"/>
        </w:rPr>
        <w:t>4.2、</w:t>
      </w:r>
      <w:r>
        <w:rPr>
          <w:rFonts w:hint="eastAsia" w:ascii="仿宋" w:hAnsi="仿宋" w:eastAsia="仿宋" w:cs="仿宋"/>
          <w:b/>
          <w:bCs w:val="0"/>
          <w:sz w:val="28"/>
          <w:szCs w:val="28"/>
          <w:highlight w:val="none"/>
          <w:lang w:val="en-US" w:eastAsia="zh-CN"/>
        </w:rPr>
        <w:t>履约（货物）保证金：贰</w:t>
      </w:r>
      <w:r>
        <w:rPr>
          <w:rFonts w:hint="eastAsia" w:ascii="仿宋" w:hAnsi="仿宋" w:eastAsia="仿宋" w:cs="仿宋"/>
          <w:b/>
          <w:bCs w:val="0"/>
          <w:sz w:val="28"/>
          <w:szCs w:val="28"/>
          <w:highlight w:val="none"/>
        </w:rPr>
        <w:t>拾万元整</w:t>
      </w:r>
      <w:r>
        <w:rPr>
          <w:rFonts w:hint="eastAsia" w:ascii="仿宋" w:hAnsi="仿宋" w:eastAsia="仿宋" w:cs="仿宋"/>
          <w:b/>
          <w:bCs w:val="0"/>
          <w:sz w:val="28"/>
          <w:szCs w:val="28"/>
          <w:highlight w:val="none"/>
          <w:lang w:val="en-US" w:eastAsia="zh-CN"/>
        </w:rPr>
        <w:t>,</w:t>
      </w:r>
      <w:r>
        <w:rPr>
          <w:rFonts w:hint="eastAsia" w:ascii="仿宋" w:hAnsi="仿宋" w:eastAsia="仿宋" w:cs="仿宋"/>
          <w:b/>
          <w:bCs w:val="0"/>
          <w:sz w:val="28"/>
          <w:szCs w:val="28"/>
          <w:highlight w:val="none"/>
        </w:rPr>
        <w:t>履约保证金自合同生效之日起生效，有效期至合同执行结束且双方办理合同决算手续后28日不计利息退还。</w:t>
      </w:r>
      <w:r>
        <w:rPr>
          <w:rFonts w:hint="eastAsia" w:ascii="仿宋" w:hAnsi="仿宋" w:eastAsia="仿宋" w:cs="仿宋"/>
          <w:b/>
          <w:bCs w:val="0"/>
          <w:sz w:val="28"/>
          <w:szCs w:val="28"/>
          <w:highlight w:val="none"/>
          <w:lang w:val="en-US" w:eastAsia="zh-CN"/>
        </w:rPr>
        <w:t xml:space="preserve">  </w:t>
      </w:r>
    </w:p>
    <w:p>
      <w:pPr>
        <w:keepNext w:val="0"/>
        <w:keepLines w:val="0"/>
        <w:pageBreakBefore w:val="0"/>
        <w:widowControl w:val="0"/>
        <w:kinsoku/>
        <w:wordWrap/>
        <w:overflowPunct/>
        <w:topLinePunct w:val="0"/>
        <w:autoSpaceDE/>
        <w:autoSpaceDN/>
        <w:bidi w:val="0"/>
        <w:spacing w:line="360" w:lineRule="auto"/>
        <w:ind w:left="0" w:leftChars="0" w:right="0" w:rightChars="0" w:firstLine="560" w:firstLineChars="200"/>
        <w:jc w:val="both"/>
        <w:textAlignment w:val="auto"/>
        <w:outlineLvl w:val="9"/>
        <w:rPr>
          <w:rFonts w:hint="eastAsia" w:ascii="仿宋" w:hAnsi="仿宋" w:eastAsia="仿宋" w:cs="仿宋"/>
          <w:b/>
          <w:bCs w:val="0"/>
          <w:sz w:val="28"/>
          <w:szCs w:val="28"/>
          <w:highlight w:val="none"/>
          <w:lang w:val="en-US" w:eastAsia="zh-CN"/>
        </w:rPr>
      </w:pPr>
      <w:r>
        <w:rPr>
          <w:rFonts w:hint="eastAsia" w:ascii="仿宋" w:hAnsi="仿宋" w:eastAsia="仿宋" w:cs="仿宋"/>
          <w:b w:val="0"/>
          <w:bCs/>
          <w:sz w:val="28"/>
          <w:szCs w:val="28"/>
          <w:highlight w:val="none"/>
          <w:lang w:val="en-US" w:eastAsia="zh-CN"/>
        </w:rPr>
        <w:t>4.3、</w:t>
      </w:r>
      <w:r>
        <w:rPr>
          <w:rFonts w:hint="eastAsia" w:ascii="仿宋" w:hAnsi="仿宋" w:eastAsia="仿宋" w:cs="仿宋"/>
          <w:b/>
          <w:bCs w:val="0"/>
          <w:sz w:val="28"/>
          <w:szCs w:val="28"/>
          <w:highlight w:val="none"/>
          <w:lang w:val="en-US" w:eastAsia="zh-CN"/>
        </w:rPr>
        <w:t>付款条件：乙方提供</w:t>
      </w:r>
      <w:r>
        <w:rPr>
          <w:rFonts w:hint="eastAsia" w:ascii="仿宋" w:hAnsi="仿宋" w:eastAsia="仿宋" w:cs="仿宋"/>
          <w:b/>
          <w:bCs w:val="0"/>
          <w:sz w:val="28"/>
          <w:szCs w:val="28"/>
          <w:highlight w:val="none"/>
          <w:u w:val="single"/>
          <w:lang w:val="en-US" w:eastAsia="zh-CN"/>
        </w:rPr>
        <w:t>项目签收单、对账单、发票等</w:t>
      </w:r>
      <w:r>
        <w:rPr>
          <w:rFonts w:hint="eastAsia" w:ascii="仿宋" w:hAnsi="仿宋" w:eastAsia="仿宋" w:cs="仿宋"/>
          <w:b/>
          <w:bCs w:val="0"/>
          <w:sz w:val="28"/>
          <w:szCs w:val="28"/>
          <w:highlight w:val="none"/>
          <w:lang w:val="en-US" w:eastAsia="zh-CN"/>
        </w:rPr>
        <w:t>完善的结算资料后30日内支付上月结算款项，银行转账结算。</w:t>
      </w:r>
    </w:p>
    <w:p>
      <w:pPr>
        <w:keepNext w:val="0"/>
        <w:keepLines w:val="0"/>
        <w:pageBreakBefore w:val="0"/>
        <w:widowControl w:val="0"/>
        <w:kinsoku/>
        <w:wordWrap/>
        <w:overflowPunct/>
        <w:topLinePunct w:val="0"/>
        <w:autoSpaceDE/>
        <w:autoSpaceDN/>
        <w:bidi w:val="0"/>
        <w:spacing w:line="360" w:lineRule="auto"/>
        <w:ind w:left="0" w:leftChars="0" w:right="0" w:rightChars="0" w:firstLine="560" w:firstLineChars="200"/>
        <w:jc w:val="both"/>
        <w:textAlignment w:val="auto"/>
        <w:outlineLvl w:val="9"/>
        <w:rPr>
          <w:rFonts w:hint="eastAsia" w:ascii="仿宋" w:hAnsi="仿宋" w:eastAsia="仿宋" w:cs="仿宋"/>
          <w:b w:val="0"/>
          <w:bCs/>
          <w:sz w:val="28"/>
          <w:szCs w:val="28"/>
          <w:highlight w:val="none"/>
          <w:lang w:val="en-US" w:eastAsia="zh-CN"/>
        </w:rPr>
      </w:pPr>
      <w:r>
        <w:rPr>
          <w:rFonts w:hint="eastAsia" w:ascii="仿宋" w:hAnsi="仿宋" w:eastAsia="仿宋" w:cs="仿宋"/>
          <w:b w:val="0"/>
          <w:bCs/>
          <w:sz w:val="28"/>
          <w:szCs w:val="28"/>
          <w:highlight w:val="none"/>
          <w:lang w:val="en-US" w:eastAsia="zh-CN"/>
        </w:rPr>
        <w:t>4.4、乙方于对完账5个工作日开具物流运输服务类增值税专用发票。</w:t>
      </w:r>
    </w:p>
    <w:p>
      <w:pPr>
        <w:keepNext w:val="0"/>
        <w:keepLines w:val="0"/>
        <w:pageBreakBefore w:val="0"/>
        <w:widowControl w:val="0"/>
        <w:kinsoku/>
        <w:wordWrap/>
        <w:overflowPunct/>
        <w:topLinePunct w:val="0"/>
        <w:autoSpaceDE/>
        <w:autoSpaceDN/>
        <w:bidi w:val="0"/>
        <w:spacing w:line="360" w:lineRule="auto"/>
        <w:ind w:right="0" w:rightChars="0" w:firstLine="560" w:firstLineChars="200"/>
        <w:jc w:val="both"/>
        <w:textAlignment w:val="auto"/>
        <w:outlineLvl w:val="9"/>
        <w:rPr>
          <w:rFonts w:hint="eastAsia" w:ascii="仿宋" w:hAnsi="仿宋" w:eastAsia="仿宋" w:cs="仿宋"/>
          <w:b w:val="0"/>
          <w:bCs/>
          <w:sz w:val="28"/>
          <w:szCs w:val="28"/>
          <w:highlight w:val="none"/>
          <w:lang w:val="en-US" w:eastAsia="zh-CN"/>
        </w:rPr>
      </w:pPr>
      <w:r>
        <w:rPr>
          <w:rFonts w:hint="eastAsia" w:ascii="仿宋" w:hAnsi="仿宋" w:eastAsia="仿宋" w:cs="仿宋"/>
          <w:b w:val="0"/>
          <w:bCs/>
          <w:sz w:val="28"/>
          <w:szCs w:val="28"/>
          <w:highlight w:val="none"/>
          <w:lang w:val="en-US" w:eastAsia="zh-CN"/>
        </w:rPr>
        <w:t>4.5、甲方受票信息详见本合同</w:t>
      </w:r>
      <w:r>
        <w:rPr>
          <w:rFonts w:hint="eastAsia" w:ascii="仿宋" w:hAnsi="仿宋" w:eastAsia="仿宋" w:cs="仿宋"/>
          <w:b/>
          <w:bCs w:val="0"/>
          <w:sz w:val="28"/>
          <w:szCs w:val="28"/>
          <w:highlight w:val="none"/>
          <w:u w:val="single"/>
          <w:lang w:val="en-US" w:eastAsia="zh-CN"/>
        </w:rPr>
        <w:t>第1条</w:t>
      </w:r>
      <w:r>
        <w:rPr>
          <w:rFonts w:hint="eastAsia" w:ascii="仿宋" w:hAnsi="仿宋" w:eastAsia="仿宋" w:cs="仿宋"/>
          <w:b w:val="0"/>
          <w:bCs/>
          <w:sz w:val="28"/>
          <w:szCs w:val="28"/>
          <w:highlight w:val="none"/>
          <w:lang w:val="en-US" w:eastAsia="zh-CN"/>
        </w:rPr>
        <w:t>甲方概况。</w:t>
      </w: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仿宋" w:hAnsi="仿宋" w:eastAsia="仿宋" w:cs="仿宋"/>
          <w:b/>
          <w:bCs w:val="0"/>
          <w:sz w:val="28"/>
          <w:szCs w:val="28"/>
          <w:highlight w:val="none"/>
          <w:lang w:val="en-US" w:eastAsia="zh-CN"/>
        </w:rPr>
      </w:pPr>
      <w:r>
        <w:rPr>
          <w:rFonts w:hint="eastAsia" w:ascii="仿宋" w:hAnsi="仿宋" w:eastAsia="仿宋" w:cs="仿宋"/>
          <w:b/>
          <w:bCs w:val="0"/>
          <w:sz w:val="28"/>
          <w:szCs w:val="28"/>
          <w:highlight w:val="none"/>
          <w:lang w:val="en-US" w:eastAsia="zh-CN"/>
        </w:rPr>
        <w:t>5 质量、数量异议</w:t>
      </w:r>
    </w:p>
    <w:p>
      <w:pPr>
        <w:keepNext w:val="0"/>
        <w:keepLines w:val="0"/>
        <w:pageBreakBefore w:val="0"/>
        <w:widowControl w:val="0"/>
        <w:numPr>
          <w:ilvl w:val="0"/>
          <w:numId w:val="0"/>
        </w:numPr>
        <w:kinsoku/>
        <w:wordWrap/>
        <w:overflowPunct/>
        <w:topLinePunct w:val="0"/>
        <w:autoSpaceDE/>
        <w:autoSpaceDN/>
        <w:bidi w:val="0"/>
        <w:spacing w:line="360" w:lineRule="auto"/>
        <w:ind w:right="0" w:rightChars="0" w:firstLine="562" w:firstLineChars="200"/>
        <w:jc w:val="both"/>
        <w:textAlignment w:val="auto"/>
        <w:outlineLvl w:val="9"/>
        <w:rPr>
          <w:rFonts w:hint="eastAsia" w:ascii="仿宋" w:hAnsi="仿宋" w:eastAsia="仿宋" w:cs="仿宋"/>
          <w:b/>
          <w:bCs w:val="0"/>
          <w:sz w:val="28"/>
          <w:szCs w:val="28"/>
          <w:highlight w:val="none"/>
          <w:lang w:val="en-US" w:eastAsia="zh-CN"/>
        </w:rPr>
      </w:pPr>
      <w:r>
        <w:rPr>
          <w:rFonts w:hint="eastAsia" w:ascii="仿宋" w:hAnsi="仿宋" w:eastAsia="仿宋" w:cs="仿宋"/>
          <w:b/>
          <w:bCs w:val="0"/>
          <w:sz w:val="28"/>
          <w:szCs w:val="28"/>
          <w:highlight w:val="none"/>
          <w:lang w:val="en-US" w:eastAsia="zh-CN"/>
        </w:rPr>
        <w:t>5.1、质量异议</w:t>
      </w:r>
    </w:p>
    <w:p>
      <w:pPr>
        <w:keepNext w:val="0"/>
        <w:keepLines w:val="0"/>
        <w:pageBreakBefore w:val="0"/>
        <w:widowControl w:val="0"/>
        <w:numPr>
          <w:ilvl w:val="0"/>
          <w:numId w:val="0"/>
        </w:numPr>
        <w:kinsoku/>
        <w:wordWrap/>
        <w:overflowPunct/>
        <w:topLinePunct w:val="0"/>
        <w:autoSpaceDE/>
        <w:autoSpaceDN/>
        <w:bidi w:val="0"/>
        <w:spacing w:line="360" w:lineRule="auto"/>
        <w:ind w:right="0" w:rightChars="0" w:firstLine="562" w:firstLineChars="200"/>
        <w:jc w:val="both"/>
        <w:textAlignment w:val="auto"/>
        <w:outlineLvl w:val="9"/>
        <w:rPr>
          <w:rFonts w:hint="eastAsia" w:ascii="仿宋" w:hAnsi="仿宋" w:eastAsia="仿宋" w:cs="仿宋"/>
          <w:b/>
          <w:bCs w:val="0"/>
          <w:sz w:val="28"/>
          <w:szCs w:val="28"/>
          <w:highlight w:val="none"/>
          <w:lang w:val="en-US" w:eastAsia="zh-CN"/>
        </w:rPr>
      </w:pPr>
      <w:r>
        <w:rPr>
          <w:rFonts w:hint="eastAsia" w:ascii="仿宋" w:hAnsi="仿宋" w:eastAsia="仿宋" w:cs="仿宋"/>
          <w:b/>
          <w:bCs w:val="0"/>
          <w:sz w:val="28"/>
          <w:szCs w:val="28"/>
          <w:highlight w:val="none"/>
          <w:lang w:val="en-US" w:eastAsia="zh-CN"/>
        </w:rPr>
        <w:t>乙方必须确保运输的货物安全送达甲方指定收货地点，若甲方在验收时发现质量有异议，乙方需配合甲方进行调查，乙方必须确保运输的货物未有进行更换，并承担因更换导致的所有质量责任。</w:t>
      </w:r>
    </w:p>
    <w:p>
      <w:pPr>
        <w:keepNext w:val="0"/>
        <w:keepLines w:val="0"/>
        <w:pageBreakBefore w:val="0"/>
        <w:widowControl w:val="0"/>
        <w:kinsoku/>
        <w:wordWrap/>
        <w:overflowPunct/>
        <w:topLinePunct w:val="0"/>
        <w:autoSpaceDE/>
        <w:autoSpaceDN/>
        <w:bidi w:val="0"/>
        <w:spacing w:line="360" w:lineRule="auto"/>
        <w:ind w:right="0" w:rightChars="0" w:firstLine="562" w:firstLineChars="200"/>
        <w:jc w:val="both"/>
        <w:textAlignment w:val="auto"/>
        <w:outlineLvl w:val="9"/>
        <w:rPr>
          <w:rFonts w:hint="eastAsia" w:ascii="仿宋" w:hAnsi="仿宋" w:eastAsia="仿宋" w:cs="仿宋"/>
          <w:b/>
          <w:bCs w:val="0"/>
          <w:sz w:val="28"/>
          <w:szCs w:val="28"/>
          <w:highlight w:val="none"/>
          <w:lang w:val="en-US" w:eastAsia="zh-CN"/>
        </w:rPr>
      </w:pPr>
      <w:r>
        <w:rPr>
          <w:rFonts w:hint="eastAsia" w:ascii="仿宋" w:hAnsi="仿宋" w:eastAsia="仿宋" w:cs="仿宋"/>
          <w:b/>
          <w:bCs w:val="0"/>
          <w:sz w:val="28"/>
          <w:szCs w:val="28"/>
          <w:highlight w:val="none"/>
          <w:lang w:val="en-US" w:eastAsia="zh-CN"/>
        </w:rPr>
        <w:t>5.2、数量异议</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562" w:firstLineChars="200"/>
        <w:jc w:val="both"/>
        <w:textAlignment w:val="auto"/>
        <w:outlineLvl w:val="9"/>
        <w:rPr>
          <w:rFonts w:hint="eastAsia" w:ascii="仿宋" w:hAnsi="仿宋" w:eastAsia="仿宋" w:cs="仿宋"/>
          <w:b/>
          <w:bCs w:val="0"/>
          <w:sz w:val="28"/>
          <w:szCs w:val="28"/>
          <w:highlight w:val="none"/>
          <w:lang w:val="en-US" w:eastAsia="zh-CN"/>
        </w:rPr>
      </w:pPr>
      <w:r>
        <w:rPr>
          <w:rFonts w:hint="eastAsia" w:ascii="仿宋" w:hAnsi="仿宋" w:eastAsia="仿宋" w:cs="仿宋"/>
          <w:b/>
          <w:bCs w:val="0"/>
          <w:sz w:val="28"/>
          <w:szCs w:val="28"/>
          <w:highlight w:val="none"/>
          <w:lang w:val="en-US" w:eastAsia="zh-CN"/>
        </w:rPr>
        <w:t>运输数量以甲方出库(或甲方委托方)出库过磅数量为准，运输过程无误差。</w:t>
      </w:r>
    </w:p>
    <w:p>
      <w:pPr>
        <w:keepNext w:val="0"/>
        <w:keepLines w:val="0"/>
        <w:pageBreakBefore w:val="0"/>
        <w:widowControl w:val="0"/>
        <w:kinsoku/>
        <w:wordWrap/>
        <w:overflowPunct/>
        <w:topLinePunct w:val="0"/>
        <w:autoSpaceDE/>
        <w:autoSpaceDN/>
        <w:bidi w:val="0"/>
        <w:spacing w:line="360" w:lineRule="auto"/>
        <w:ind w:right="0" w:rightChars="0"/>
        <w:jc w:val="both"/>
        <w:textAlignment w:val="auto"/>
        <w:outlineLvl w:val="9"/>
        <w:rPr>
          <w:rFonts w:hint="eastAsia" w:ascii="仿宋" w:hAnsi="仿宋" w:eastAsia="仿宋" w:cs="仿宋"/>
          <w:b w:val="0"/>
          <w:bCs/>
          <w:sz w:val="28"/>
          <w:szCs w:val="28"/>
          <w:highlight w:val="none"/>
          <w:lang w:val="en-US" w:eastAsia="zh-CN"/>
        </w:rPr>
      </w:pPr>
      <w:r>
        <w:rPr>
          <w:rFonts w:hint="eastAsia" w:ascii="仿宋" w:hAnsi="仿宋" w:eastAsia="仿宋" w:cs="仿宋"/>
          <w:b/>
          <w:bCs w:val="0"/>
          <w:sz w:val="28"/>
          <w:szCs w:val="28"/>
          <w:highlight w:val="none"/>
          <w:lang w:val="en-US" w:eastAsia="zh-CN"/>
        </w:rPr>
        <w:t>6  双方权利义务</w:t>
      </w:r>
    </w:p>
    <w:p>
      <w:pPr>
        <w:keepNext w:val="0"/>
        <w:keepLines w:val="0"/>
        <w:pageBreakBefore w:val="0"/>
        <w:widowControl w:val="0"/>
        <w:kinsoku/>
        <w:wordWrap/>
        <w:overflowPunct/>
        <w:topLinePunct w:val="0"/>
        <w:autoSpaceDE/>
        <w:autoSpaceDN/>
        <w:bidi w:val="0"/>
        <w:spacing w:line="360" w:lineRule="auto"/>
        <w:ind w:right="0" w:rightChars="0" w:firstLine="562" w:firstLineChars="200"/>
        <w:jc w:val="both"/>
        <w:textAlignment w:val="auto"/>
        <w:outlineLvl w:val="9"/>
        <w:rPr>
          <w:rFonts w:hint="eastAsia" w:ascii="仿宋" w:hAnsi="仿宋" w:eastAsia="仿宋" w:cs="仿宋"/>
          <w:b w:val="0"/>
          <w:bCs/>
          <w:sz w:val="28"/>
          <w:szCs w:val="28"/>
          <w:highlight w:val="none"/>
          <w:lang w:val="en-US" w:eastAsia="zh-CN"/>
        </w:rPr>
      </w:pPr>
      <w:r>
        <w:rPr>
          <w:rFonts w:hint="eastAsia" w:ascii="仿宋" w:hAnsi="仿宋" w:eastAsia="仿宋" w:cs="仿宋"/>
          <w:b/>
          <w:bCs w:val="0"/>
          <w:sz w:val="28"/>
          <w:szCs w:val="28"/>
          <w:highlight w:val="none"/>
          <w:lang w:val="en-US" w:eastAsia="zh-CN"/>
        </w:rPr>
        <w:t>6.1、甲方的义务</w:t>
      </w:r>
      <w:r>
        <w:rPr>
          <w:rFonts w:hint="eastAsia" w:ascii="仿宋" w:hAnsi="仿宋" w:eastAsia="仿宋" w:cs="仿宋"/>
          <w:b w:val="0"/>
          <w:bCs/>
          <w:sz w:val="28"/>
          <w:szCs w:val="28"/>
          <w:highlight w:val="none"/>
          <w:lang w:val="en-US" w:eastAsia="zh-CN"/>
        </w:rPr>
        <w:t xml:space="preserve">                                                     </w:t>
      </w:r>
    </w:p>
    <w:p>
      <w:pPr>
        <w:keepNext w:val="0"/>
        <w:keepLines w:val="0"/>
        <w:pageBreakBefore w:val="0"/>
        <w:widowControl w:val="0"/>
        <w:kinsoku/>
        <w:wordWrap/>
        <w:overflowPunct/>
        <w:topLinePunct w:val="0"/>
        <w:autoSpaceDE/>
        <w:autoSpaceDN/>
        <w:bidi w:val="0"/>
        <w:spacing w:line="360" w:lineRule="auto"/>
        <w:ind w:left="0" w:leftChars="0" w:right="0" w:rightChars="0" w:firstLine="560" w:firstLineChars="200"/>
        <w:jc w:val="both"/>
        <w:textAlignment w:val="auto"/>
        <w:outlineLvl w:val="9"/>
        <w:rPr>
          <w:rFonts w:hint="eastAsia" w:ascii="仿宋" w:hAnsi="仿宋" w:eastAsia="仿宋" w:cs="仿宋"/>
          <w:b w:val="0"/>
          <w:bCs/>
          <w:sz w:val="28"/>
          <w:szCs w:val="28"/>
          <w:highlight w:val="none"/>
          <w:lang w:val="en-US" w:eastAsia="zh-CN"/>
        </w:rPr>
      </w:pPr>
      <w:r>
        <w:rPr>
          <w:rFonts w:hint="eastAsia" w:ascii="仿宋" w:hAnsi="仿宋" w:eastAsia="仿宋" w:cs="仿宋"/>
          <w:b w:val="0"/>
          <w:bCs/>
          <w:sz w:val="28"/>
          <w:szCs w:val="28"/>
          <w:highlight w:val="none"/>
          <w:lang w:val="en-US" w:eastAsia="zh-CN"/>
        </w:rPr>
        <w:t>6.1.1、按时向乙方支付运费。</w:t>
      </w:r>
    </w:p>
    <w:p>
      <w:pPr>
        <w:keepNext w:val="0"/>
        <w:keepLines w:val="0"/>
        <w:pageBreakBefore w:val="0"/>
        <w:widowControl w:val="0"/>
        <w:kinsoku/>
        <w:wordWrap/>
        <w:overflowPunct/>
        <w:topLinePunct w:val="0"/>
        <w:autoSpaceDE/>
        <w:autoSpaceDN/>
        <w:bidi w:val="0"/>
        <w:spacing w:line="360" w:lineRule="auto"/>
        <w:ind w:left="0" w:leftChars="0" w:right="0" w:rightChars="0" w:firstLine="560" w:firstLineChars="200"/>
        <w:jc w:val="both"/>
        <w:textAlignment w:val="auto"/>
        <w:outlineLvl w:val="9"/>
        <w:rPr>
          <w:rFonts w:hint="eastAsia" w:ascii="仿宋" w:hAnsi="仿宋" w:eastAsia="仿宋" w:cs="仿宋"/>
          <w:b w:val="0"/>
          <w:bCs/>
          <w:sz w:val="28"/>
          <w:szCs w:val="28"/>
          <w:highlight w:val="none"/>
          <w:lang w:val="en-US" w:eastAsia="zh-CN"/>
        </w:rPr>
      </w:pPr>
      <w:r>
        <w:rPr>
          <w:rFonts w:hint="eastAsia" w:ascii="仿宋" w:hAnsi="仿宋" w:eastAsia="仿宋" w:cs="仿宋"/>
          <w:b w:val="0"/>
          <w:bCs/>
          <w:sz w:val="28"/>
          <w:szCs w:val="28"/>
          <w:highlight w:val="none"/>
          <w:lang w:val="en-US" w:eastAsia="zh-CN"/>
        </w:rPr>
        <w:t>6.1.2、甲方负责提供送货物的地点和清单，并以传真或者电话的形式通知乙方做好货物的准备工作。</w:t>
      </w:r>
    </w:p>
    <w:p>
      <w:pPr>
        <w:keepNext w:val="0"/>
        <w:keepLines w:val="0"/>
        <w:pageBreakBefore w:val="0"/>
        <w:widowControl w:val="0"/>
        <w:kinsoku/>
        <w:wordWrap/>
        <w:overflowPunct/>
        <w:topLinePunct w:val="0"/>
        <w:autoSpaceDE/>
        <w:autoSpaceDN/>
        <w:bidi w:val="0"/>
        <w:spacing w:line="360" w:lineRule="auto"/>
        <w:ind w:left="0" w:leftChars="0" w:right="0" w:rightChars="0" w:firstLine="560" w:firstLineChars="200"/>
        <w:jc w:val="both"/>
        <w:textAlignment w:val="auto"/>
        <w:outlineLvl w:val="9"/>
        <w:rPr>
          <w:rFonts w:hint="eastAsia" w:ascii="仿宋" w:hAnsi="仿宋" w:eastAsia="仿宋" w:cs="仿宋"/>
          <w:b w:val="0"/>
          <w:bCs/>
          <w:sz w:val="28"/>
          <w:szCs w:val="28"/>
          <w:highlight w:val="none"/>
          <w:lang w:val="en-US" w:eastAsia="zh-CN"/>
        </w:rPr>
      </w:pPr>
      <w:r>
        <w:rPr>
          <w:rFonts w:hint="eastAsia" w:ascii="仿宋" w:hAnsi="仿宋" w:eastAsia="仿宋" w:cs="仿宋"/>
          <w:b w:val="0"/>
          <w:bCs/>
          <w:sz w:val="28"/>
          <w:szCs w:val="28"/>
          <w:highlight w:val="none"/>
          <w:lang w:val="en-US" w:eastAsia="zh-CN"/>
        </w:rPr>
        <w:t>6.1.3、甲方负责合理的安排任务量，并将月计划提前告知乙方以便于乙方提前做好准备工作。</w:t>
      </w:r>
    </w:p>
    <w:p>
      <w:pPr>
        <w:keepNext w:val="0"/>
        <w:keepLines w:val="0"/>
        <w:pageBreakBefore w:val="0"/>
        <w:widowControl w:val="0"/>
        <w:kinsoku/>
        <w:wordWrap/>
        <w:overflowPunct/>
        <w:topLinePunct w:val="0"/>
        <w:autoSpaceDE/>
        <w:autoSpaceDN/>
        <w:bidi w:val="0"/>
        <w:spacing w:line="360" w:lineRule="auto"/>
        <w:ind w:left="0" w:leftChars="0" w:right="0" w:rightChars="0" w:firstLine="560" w:firstLineChars="200"/>
        <w:jc w:val="both"/>
        <w:textAlignment w:val="auto"/>
        <w:outlineLvl w:val="9"/>
        <w:rPr>
          <w:rFonts w:hint="eastAsia" w:ascii="仿宋" w:hAnsi="仿宋" w:eastAsia="仿宋" w:cs="仿宋"/>
          <w:b w:val="0"/>
          <w:bCs/>
          <w:sz w:val="28"/>
          <w:szCs w:val="28"/>
          <w:highlight w:val="none"/>
          <w:lang w:val="en-US" w:eastAsia="zh-CN"/>
        </w:rPr>
      </w:pPr>
      <w:r>
        <w:rPr>
          <w:rFonts w:hint="eastAsia" w:ascii="仿宋" w:hAnsi="仿宋" w:eastAsia="仿宋" w:cs="仿宋"/>
          <w:b w:val="0"/>
          <w:bCs/>
          <w:sz w:val="28"/>
          <w:szCs w:val="28"/>
          <w:highlight w:val="none"/>
          <w:lang w:val="en-US" w:eastAsia="zh-CN"/>
        </w:rPr>
        <w:t>6.1.4、甲方负责协调乙方与库房、销售单位和货物接收单位的关系。</w:t>
      </w:r>
    </w:p>
    <w:p>
      <w:pPr>
        <w:keepNext w:val="0"/>
        <w:keepLines w:val="0"/>
        <w:pageBreakBefore w:val="0"/>
        <w:widowControl w:val="0"/>
        <w:kinsoku/>
        <w:wordWrap/>
        <w:overflowPunct/>
        <w:topLinePunct w:val="0"/>
        <w:autoSpaceDE/>
        <w:autoSpaceDN/>
        <w:bidi w:val="0"/>
        <w:spacing w:line="360" w:lineRule="auto"/>
        <w:ind w:left="0" w:leftChars="0" w:right="0" w:rightChars="0" w:firstLine="562" w:firstLineChars="200"/>
        <w:jc w:val="both"/>
        <w:textAlignment w:val="auto"/>
        <w:outlineLvl w:val="9"/>
        <w:rPr>
          <w:rFonts w:hint="eastAsia" w:ascii="仿宋" w:hAnsi="仿宋" w:eastAsia="仿宋" w:cs="仿宋"/>
          <w:b/>
          <w:bCs w:val="0"/>
          <w:sz w:val="28"/>
          <w:szCs w:val="28"/>
          <w:highlight w:val="none"/>
          <w:lang w:val="en-US" w:eastAsia="zh-CN"/>
        </w:rPr>
      </w:pPr>
      <w:r>
        <w:rPr>
          <w:rFonts w:hint="eastAsia" w:ascii="仿宋" w:hAnsi="仿宋" w:eastAsia="仿宋" w:cs="仿宋"/>
          <w:b/>
          <w:bCs w:val="0"/>
          <w:sz w:val="28"/>
          <w:szCs w:val="28"/>
          <w:highlight w:val="none"/>
          <w:lang w:val="en-US" w:eastAsia="zh-CN"/>
        </w:rPr>
        <w:t>6.2 乙方的义务</w:t>
      </w:r>
    </w:p>
    <w:p>
      <w:pPr>
        <w:keepNext w:val="0"/>
        <w:keepLines w:val="0"/>
        <w:pageBreakBefore w:val="0"/>
        <w:widowControl w:val="0"/>
        <w:kinsoku/>
        <w:wordWrap/>
        <w:overflowPunct/>
        <w:topLinePunct w:val="0"/>
        <w:autoSpaceDE/>
        <w:autoSpaceDN/>
        <w:bidi w:val="0"/>
        <w:spacing w:line="360" w:lineRule="auto"/>
        <w:ind w:left="0" w:leftChars="0" w:right="0" w:rightChars="0" w:firstLine="560" w:firstLineChars="200"/>
        <w:jc w:val="both"/>
        <w:textAlignment w:val="auto"/>
        <w:outlineLvl w:val="9"/>
        <w:rPr>
          <w:rFonts w:hint="eastAsia" w:ascii="仿宋" w:hAnsi="仿宋" w:eastAsia="仿宋" w:cs="仿宋"/>
          <w:b w:val="0"/>
          <w:bCs/>
          <w:sz w:val="28"/>
          <w:szCs w:val="28"/>
          <w:highlight w:val="none"/>
          <w:lang w:val="en-US" w:eastAsia="zh-CN"/>
        </w:rPr>
      </w:pPr>
      <w:r>
        <w:rPr>
          <w:rFonts w:hint="eastAsia" w:ascii="仿宋" w:hAnsi="仿宋" w:eastAsia="仿宋" w:cs="仿宋"/>
          <w:b w:val="0"/>
          <w:bCs/>
          <w:sz w:val="28"/>
          <w:szCs w:val="28"/>
          <w:highlight w:val="none"/>
          <w:lang w:val="en-US" w:eastAsia="zh-CN"/>
        </w:rPr>
        <w:t>6.1.1、乙方必须服从甲方或甲方货物供应相关方的管理，按时将货物运送到指定地点，交付给甲方指定的收货人，并要求指定的收货人在提（送）货单“用户签收联”签收确认并签字盖章后交还甲方。</w:t>
      </w:r>
    </w:p>
    <w:p>
      <w:pPr>
        <w:keepNext w:val="0"/>
        <w:keepLines w:val="0"/>
        <w:pageBreakBefore w:val="0"/>
        <w:widowControl w:val="0"/>
        <w:kinsoku/>
        <w:wordWrap/>
        <w:overflowPunct/>
        <w:topLinePunct w:val="0"/>
        <w:autoSpaceDE/>
        <w:autoSpaceDN/>
        <w:bidi w:val="0"/>
        <w:spacing w:line="360" w:lineRule="auto"/>
        <w:ind w:left="0" w:leftChars="0" w:right="0" w:rightChars="0" w:firstLine="560" w:firstLineChars="200"/>
        <w:jc w:val="both"/>
        <w:textAlignment w:val="auto"/>
        <w:outlineLvl w:val="9"/>
        <w:rPr>
          <w:rFonts w:hint="eastAsia" w:ascii="仿宋" w:hAnsi="仿宋" w:eastAsia="仿宋" w:cs="仿宋"/>
          <w:b w:val="0"/>
          <w:bCs/>
          <w:sz w:val="28"/>
          <w:szCs w:val="28"/>
          <w:highlight w:val="none"/>
          <w:lang w:val="en-US" w:eastAsia="zh-CN"/>
        </w:rPr>
      </w:pPr>
      <w:r>
        <w:rPr>
          <w:rFonts w:hint="eastAsia" w:ascii="仿宋" w:hAnsi="仿宋" w:eastAsia="仿宋" w:cs="仿宋"/>
          <w:b w:val="0"/>
          <w:bCs/>
          <w:sz w:val="28"/>
          <w:szCs w:val="28"/>
          <w:highlight w:val="none"/>
          <w:lang w:val="en-US" w:eastAsia="zh-CN"/>
        </w:rPr>
        <w:t>6.1.2、乙方承运的车辆必须是合法的车辆，运输前必须在甲方进行登记备案，每辆车购置不少于100万的意外保险。</w:t>
      </w:r>
    </w:p>
    <w:p>
      <w:pPr>
        <w:keepNext w:val="0"/>
        <w:keepLines w:val="0"/>
        <w:pageBreakBefore w:val="0"/>
        <w:widowControl w:val="0"/>
        <w:kinsoku/>
        <w:wordWrap/>
        <w:overflowPunct/>
        <w:topLinePunct w:val="0"/>
        <w:autoSpaceDE/>
        <w:autoSpaceDN/>
        <w:bidi w:val="0"/>
        <w:spacing w:line="360" w:lineRule="auto"/>
        <w:ind w:left="0" w:leftChars="0" w:right="0" w:rightChars="0" w:firstLine="560" w:firstLineChars="200"/>
        <w:jc w:val="both"/>
        <w:textAlignment w:val="auto"/>
        <w:outlineLvl w:val="9"/>
        <w:rPr>
          <w:rFonts w:hint="eastAsia" w:ascii="仿宋" w:hAnsi="仿宋" w:eastAsia="仿宋" w:cs="仿宋"/>
          <w:b w:val="0"/>
          <w:bCs/>
          <w:sz w:val="28"/>
          <w:szCs w:val="28"/>
          <w:highlight w:val="none"/>
          <w:lang w:val="en-US" w:eastAsia="zh-CN"/>
        </w:rPr>
      </w:pPr>
      <w:r>
        <w:rPr>
          <w:rFonts w:hint="eastAsia" w:ascii="仿宋" w:hAnsi="仿宋" w:eastAsia="仿宋" w:cs="仿宋"/>
          <w:b w:val="0"/>
          <w:bCs/>
          <w:sz w:val="28"/>
          <w:szCs w:val="28"/>
          <w:highlight w:val="none"/>
          <w:lang w:val="en-US" w:eastAsia="zh-CN"/>
        </w:rPr>
        <w:t>6.1.3、为便于甲方监督管理，乙方必须为每辆车配置专用的定位系统，并时刻掌握车辆动态，所有运动轨迹半年内可查，乙方还需将车辆动态系统移植给甲方，便于甲方的监督管理，实时掌握运输动态。</w:t>
      </w:r>
    </w:p>
    <w:p>
      <w:pPr>
        <w:keepNext w:val="0"/>
        <w:keepLines w:val="0"/>
        <w:pageBreakBefore w:val="0"/>
        <w:widowControl w:val="0"/>
        <w:kinsoku/>
        <w:wordWrap/>
        <w:overflowPunct/>
        <w:topLinePunct w:val="0"/>
        <w:autoSpaceDE/>
        <w:autoSpaceDN/>
        <w:bidi w:val="0"/>
        <w:spacing w:line="360" w:lineRule="auto"/>
        <w:ind w:left="0" w:leftChars="0" w:right="0" w:rightChars="0" w:firstLine="560" w:firstLineChars="200"/>
        <w:jc w:val="both"/>
        <w:textAlignment w:val="auto"/>
        <w:outlineLvl w:val="9"/>
        <w:rPr>
          <w:rFonts w:hint="eastAsia" w:ascii="仿宋" w:hAnsi="仿宋" w:eastAsia="仿宋" w:cs="仿宋"/>
          <w:b w:val="0"/>
          <w:bCs/>
          <w:sz w:val="28"/>
          <w:szCs w:val="28"/>
          <w:highlight w:val="none"/>
          <w:lang w:val="en-US" w:eastAsia="zh-CN"/>
        </w:rPr>
      </w:pPr>
      <w:r>
        <w:rPr>
          <w:rFonts w:hint="eastAsia" w:ascii="仿宋" w:hAnsi="仿宋" w:eastAsia="仿宋" w:cs="仿宋"/>
          <w:b w:val="0"/>
          <w:bCs/>
          <w:sz w:val="28"/>
          <w:szCs w:val="28"/>
          <w:highlight w:val="none"/>
          <w:lang w:val="en-US" w:eastAsia="zh-CN"/>
        </w:rPr>
        <w:t>6.1.4、运输货物途中发生的一切逾期到达、货物丢失、短少、损坏、污染、变质等所造成的一切直接及间接损失均由乙方承担。</w:t>
      </w:r>
    </w:p>
    <w:p>
      <w:pPr>
        <w:keepNext w:val="0"/>
        <w:keepLines w:val="0"/>
        <w:pageBreakBefore w:val="0"/>
        <w:widowControl w:val="0"/>
        <w:kinsoku/>
        <w:wordWrap/>
        <w:overflowPunct/>
        <w:topLinePunct w:val="0"/>
        <w:autoSpaceDE/>
        <w:autoSpaceDN/>
        <w:bidi w:val="0"/>
        <w:spacing w:line="360" w:lineRule="auto"/>
        <w:ind w:left="0" w:leftChars="0" w:right="0" w:rightChars="0" w:firstLine="560" w:firstLineChars="200"/>
        <w:jc w:val="both"/>
        <w:textAlignment w:val="auto"/>
        <w:outlineLvl w:val="9"/>
        <w:rPr>
          <w:rFonts w:hint="eastAsia" w:ascii="仿宋" w:hAnsi="仿宋" w:eastAsia="仿宋" w:cs="仿宋"/>
          <w:b w:val="0"/>
          <w:bCs/>
          <w:sz w:val="28"/>
          <w:szCs w:val="28"/>
          <w:highlight w:val="none"/>
          <w:lang w:val="en-US" w:eastAsia="zh-CN"/>
        </w:rPr>
      </w:pPr>
      <w:r>
        <w:rPr>
          <w:rFonts w:hint="eastAsia" w:ascii="仿宋" w:hAnsi="仿宋" w:eastAsia="仿宋" w:cs="仿宋"/>
          <w:b w:val="0"/>
          <w:bCs/>
          <w:sz w:val="28"/>
          <w:szCs w:val="28"/>
          <w:highlight w:val="none"/>
          <w:lang w:val="en-US" w:eastAsia="zh-CN"/>
        </w:rPr>
        <w:t>6.1.5、乙方必须每周五向甲方报送上周完成运输量，便于甲方进行监督。</w:t>
      </w:r>
    </w:p>
    <w:p>
      <w:pPr>
        <w:keepNext w:val="0"/>
        <w:keepLines w:val="0"/>
        <w:pageBreakBefore w:val="0"/>
        <w:widowControl w:val="0"/>
        <w:kinsoku/>
        <w:wordWrap/>
        <w:overflowPunct/>
        <w:topLinePunct w:val="0"/>
        <w:autoSpaceDE/>
        <w:autoSpaceDN/>
        <w:bidi w:val="0"/>
        <w:spacing w:line="360" w:lineRule="auto"/>
        <w:ind w:left="0" w:leftChars="0" w:right="0" w:rightChars="0" w:firstLine="560" w:firstLineChars="200"/>
        <w:jc w:val="both"/>
        <w:textAlignment w:val="auto"/>
        <w:outlineLvl w:val="9"/>
        <w:rPr>
          <w:rFonts w:hint="eastAsia" w:ascii="仿宋" w:hAnsi="仿宋" w:eastAsia="仿宋" w:cs="仿宋"/>
          <w:b w:val="0"/>
          <w:bCs/>
          <w:sz w:val="28"/>
          <w:szCs w:val="28"/>
          <w:highlight w:val="none"/>
          <w:lang w:val="en-US" w:eastAsia="zh-CN"/>
        </w:rPr>
      </w:pPr>
      <w:r>
        <w:rPr>
          <w:rFonts w:hint="eastAsia" w:ascii="仿宋" w:hAnsi="仿宋" w:eastAsia="仿宋" w:cs="仿宋"/>
          <w:b w:val="0"/>
          <w:bCs/>
          <w:sz w:val="28"/>
          <w:szCs w:val="28"/>
          <w:highlight w:val="none"/>
          <w:lang w:val="en-US" w:eastAsia="zh-CN"/>
        </w:rPr>
        <w:t>6.1.6、乙方运输业务各过程的所有风险均由乙方自行承担，甲方不承担任何责任和连带责任。</w:t>
      </w:r>
    </w:p>
    <w:p>
      <w:pPr>
        <w:keepNext w:val="0"/>
        <w:keepLines w:val="0"/>
        <w:pageBreakBefore w:val="0"/>
        <w:widowControl w:val="0"/>
        <w:kinsoku/>
        <w:wordWrap/>
        <w:overflowPunct/>
        <w:topLinePunct w:val="0"/>
        <w:autoSpaceDE/>
        <w:autoSpaceDN/>
        <w:bidi w:val="0"/>
        <w:spacing w:line="360" w:lineRule="auto"/>
        <w:ind w:left="0" w:leftChars="0" w:right="0" w:rightChars="0" w:firstLine="560" w:firstLineChars="200"/>
        <w:jc w:val="both"/>
        <w:textAlignment w:val="auto"/>
        <w:outlineLvl w:val="9"/>
        <w:rPr>
          <w:rFonts w:hint="eastAsia" w:ascii="仿宋" w:hAnsi="仿宋" w:eastAsia="仿宋" w:cs="仿宋"/>
          <w:b w:val="0"/>
          <w:bCs/>
          <w:sz w:val="28"/>
          <w:szCs w:val="28"/>
          <w:highlight w:val="none"/>
          <w:lang w:val="en-US" w:eastAsia="zh-CN"/>
        </w:rPr>
      </w:pPr>
      <w:r>
        <w:rPr>
          <w:rFonts w:hint="eastAsia" w:ascii="仿宋" w:hAnsi="仿宋" w:eastAsia="仿宋" w:cs="仿宋"/>
          <w:b w:val="0"/>
          <w:bCs/>
          <w:sz w:val="28"/>
          <w:szCs w:val="28"/>
          <w:highlight w:val="none"/>
          <w:lang w:val="en-US" w:eastAsia="zh-CN"/>
        </w:rPr>
        <w:t>6.1.7、乙方在运输过程中遇不可抗力因素，不能按时将货物送达至甲方指定地点时应及时与甲方联系，说明原因，否则造成的损失由乙方承担。</w:t>
      </w:r>
    </w:p>
    <w:p>
      <w:pPr>
        <w:keepNext w:val="0"/>
        <w:keepLines w:val="0"/>
        <w:pageBreakBefore w:val="0"/>
        <w:widowControl w:val="0"/>
        <w:kinsoku/>
        <w:wordWrap/>
        <w:overflowPunct/>
        <w:topLinePunct w:val="0"/>
        <w:autoSpaceDE/>
        <w:autoSpaceDN/>
        <w:bidi w:val="0"/>
        <w:spacing w:line="360" w:lineRule="auto"/>
        <w:ind w:left="0" w:leftChars="0" w:right="0" w:rightChars="0" w:firstLine="560" w:firstLineChars="200"/>
        <w:jc w:val="both"/>
        <w:textAlignment w:val="auto"/>
        <w:outlineLvl w:val="9"/>
        <w:rPr>
          <w:rFonts w:hint="eastAsia" w:ascii="仿宋" w:hAnsi="仿宋" w:eastAsia="仿宋" w:cs="仿宋"/>
          <w:b w:val="0"/>
          <w:bCs/>
          <w:sz w:val="28"/>
          <w:szCs w:val="28"/>
          <w:highlight w:val="none"/>
          <w:lang w:val="en-US" w:eastAsia="zh-CN"/>
        </w:rPr>
      </w:pPr>
      <w:r>
        <w:rPr>
          <w:rFonts w:hint="eastAsia" w:ascii="仿宋" w:hAnsi="仿宋" w:eastAsia="仿宋" w:cs="仿宋"/>
          <w:b w:val="0"/>
          <w:bCs/>
          <w:sz w:val="28"/>
          <w:szCs w:val="28"/>
          <w:highlight w:val="none"/>
          <w:lang w:val="en-US" w:eastAsia="zh-CN"/>
        </w:rPr>
        <w:t>6.1.8、乙方须无条件协助甲方与钢材市场库区和货物使用单位之间协调关系，并负责代表甲方与钢材市场库区对账确认，与货物使用单位对账确认。</w:t>
      </w:r>
    </w:p>
    <w:p>
      <w:pPr>
        <w:keepNext w:val="0"/>
        <w:keepLines w:val="0"/>
        <w:pageBreakBefore w:val="0"/>
        <w:widowControl w:val="0"/>
        <w:kinsoku/>
        <w:wordWrap/>
        <w:overflowPunct/>
        <w:topLinePunct w:val="0"/>
        <w:autoSpaceDE/>
        <w:autoSpaceDN/>
        <w:bidi w:val="0"/>
        <w:spacing w:line="360" w:lineRule="auto"/>
        <w:ind w:left="0" w:leftChars="0" w:right="0" w:rightChars="0" w:firstLine="560" w:firstLineChars="200"/>
        <w:jc w:val="both"/>
        <w:textAlignment w:val="auto"/>
        <w:outlineLvl w:val="9"/>
        <w:rPr>
          <w:rFonts w:hint="eastAsia" w:ascii="仿宋" w:hAnsi="仿宋" w:eastAsia="仿宋" w:cs="仿宋"/>
          <w:b w:val="0"/>
          <w:bCs/>
          <w:sz w:val="28"/>
          <w:szCs w:val="28"/>
          <w:highlight w:val="none"/>
          <w:lang w:val="en-US" w:eastAsia="zh-CN"/>
        </w:rPr>
      </w:pPr>
      <w:r>
        <w:rPr>
          <w:rFonts w:hint="eastAsia" w:ascii="仿宋" w:hAnsi="仿宋" w:eastAsia="仿宋" w:cs="仿宋"/>
          <w:b w:val="0"/>
          <w:bCs/>
          <w:sz w:val="28"/>
          <w:szCs w:val="28"/>
          <w:highlight w:val="none"/>
          <w:lang w:val="en-US" w:eastAsia="zh-CN"/>
        </w:rPr>
        <w:t>6.1.9、合同单价已考虑道路等各方面因素，乙方不得以任何理由拒绝甲方做出的任务安排，否则甲方有权取消乙方的部分或所有运输任务，废除甲方本次运输竞价中选资格。</w:t>
      </w:r>
    </w:p>
    <w:p>
      <w:pPr>
        <w:keepNext w:val="0"/>
        <w:keepLines w:val="0"/>
        <w:pageBreakBefore w:val="0"/>
        <w:widowControl w:val="0"/>
        <w:kinsoku/>
        <w:wordWrap/>
        <w:overflowPunct/>
        <w:topLinePunct w:val="0"/>
        <w:autoSpaceDE/>
        <w:autoSpaceDN/>
        <w:bidi w:val="0"/>
        <w:spacing w:line="360" w:lineRule="auto"/>
        <w:ind w:left="0" w:leftChars="0" w:right="0" w:rightChars="0" w:firstLine="560" w:firstLineChars="200"/>
        <w:jc w:val="both"/>
        <w:textAlignment w:val="auto"/>
        <w:outlineLvl w:val="9"/>
        <w:rPr>
          <w:rFonts w:hint="eastAsia" w:ascii="仿宋" w:hAnsi="仿宋" w:eastAsia="仿宋" w:cs="仿宋"/>
          <w:b w:val="0"/>
          <w:bCs/>
          <w:sz w:val="28"/>
          <w:szCs w:val="28"/>
          <w:highlight w:val="none"/>
          <w:lang w:val="en-US" w:eastAsia="zh-CN"/>
        </w:rPr>
      </w:pPr>
      <w:r>
        <w:rPr>
          <w:rFonts w:hint="eastAsia" w:ascii="仿宋" w:hAnsi="仿宋" w:eastAsia="仿宋" w:cs="仿宋"/>
          <w:b w:val="0"/>
          <w:bCs/>
          <w:sz w:val="28"/>
          <w:szCs w:val="28"/>
          <w:highlight w:val="none"/>
          <w:lang w:val="en-US" w:eastAsia="zh-CN"/>
        </w:rPr>
        <w:t>6.1.10、乙方不得以任何理由拒绝到达甲方指定的地点，否则甲方有权取消乙方的部分或所有运输任务，废除甲方本次运输竞价中选资格。</w:t>
      </w:r>
    </w:p>
    <w:p>
      <w:pPr>
        <w:keepNext w:val="0"/>
        <w:keepLines w:val="0"/>
        <w:pageBreakBefore w:val="0"/>
        <w:widowControl w:val="0"/>
        <w:kinsoku/>
        <w:wordWrap/>
        <w:overflowPunct/>
        <w:topLinePunct w:val="0"/>
        <w:autoSpaceDE/>
        <w:autoSpaceDN/>
        <w:bidi w:val="0"/>
        <w:spacing w:line="360" w:lineRule="auto"/>
        <w:ind w:right="0" w:rightChars="0"/>
        <w:jc w:val="both"/>
        <w:textAlignment w:val="auto"/>
        <w:outlineLvl w:val="9"/>
        <w:rPr>
          <w:rFonts w:hint="eastAsia" w:ascii="仿宋" w:hAnsi="仿宋" w:eastAsia="仿宋" w:cs="仿宋"/>
          <w:b/>
          <w:bCs w:val="0"/>
          <w:sz w:val="28"/>
          <w:szCs w:val="28"/>
          <w:highlight w:val="none"/>
          <w:lang w:val="en-US" w:eastAsia="zh-CN"/>
        </w:rPr>
      </w:pPr>
      <w:r>
        <w:rPr>
          <w:rFonts w:hint="eastAsia" w:ascii="仿宋" w:hAnsi="仿宋" w:eastAsia="仿宋" w:cs="仿宋"/>
          <w:b/>
          <w:bCs w:val="0"/>
          <w:sz w:val="28"/>
          <w:szCs w:val="28"/>
          <w:highlight w:val="none"/>
          <w:lang w:val="en-US" w:eastAsia="zh-CN"/>
        </w:rPr>
        <w:t>7  赔偿责任</w:t>
      </w:r>
    </w:p>
    <w:p>
      <w:pPr>
        <w:keepNext w:val="0"/>
        <w:keepLines w:val="0"/>
        <w:pageBreakBefore w:val="0"/>
        <w:widowControl w:val="0"/>
        <w:kinsoku/>
        <w:wordWrap/>
        <w:overflowPunct/>
        <w:topLinePunct w:val="0"/>
        <w:autoSpaceDE/>
        <w:autoSpaceDN/>
        <w:bidi w:val="0"/>
        <w:spacing w:line="360" w:lineRule="auto"/>
        <w:ind w:left="0" w:leftChars="0" w:right="0" w:rightChars="0" w:firstLine="560" w:firstLineChars="200"/>
        <w:jc w:val="both"/>
        <w:textAlignment w:val="auto"/>
        <w:outlineLvl w:val="9"/>
        <w:rPr>
          <w:rFonts w:hint="eastAsia" w:ascii="仿宋" w:hAnsi="仿宋" w:eastAsia="仿宋" w:cs="仿宋"/>
          <w:b w:val="0"/>
          <w:bCs/>
          <w:sz w:val="28"/>
          <w:szCs w:val="28"/>
          <w:highlight w:val="none"/>
          <w:lang w:val="en-US" w:eastAsia="zh-CN"/>
        </w:rPr>
      </w:pPr>
      <w:r>
        <w:rPr>
          <w:rFonts w:hint="eastAsia" w:ascii="仿宋" w:hAnsi="仿宋" w:eastAsia="仿宋" w:cs="仿宋"/>
          <w:b w:val="0"/>
          <w:bCs/>
          <w:sz w:val="28"/>
          <w:szCs w:val="28"/>
          <w:highlight w:val="none"/>
          <w:lang w:val="en-US" w:eastAsia="zh-CN"/>
        </w:rPr>
        <w:t>7.1、甲方委托乙方承运的货物系重要生产资料，乙方对此必须高度重视，确保货物按期，安全到达。</w:t>
      </w:r>
    </w:p>
    <w:p>
      <w:pPr>
        <w:keepNext w:val="0"/>
        <w:keepLines w:val="0"/>
        <w:pageBreakBefore w:val="0"/>
        <w:widowControl w:val="0"/>
        <w:kinsoku/>
        <w:wordWrap/>
        <w:overflowPunct/>
        <w:topLinePunct w:val="0"/>
        <w:autoSpaceDE/>
        <w:autoSpaceDN/>
        <w:bidi w:val="0"/>
        <w:spacing w:line="360" w:lineRule="auto"/>
        <w:ind w:left="0" w:leftChars="0" w:right="0" w:rightChars="0" w:firstLine="560" w:firstLineChars="200"/>
        <w:jc w:val="both"/>
        <w:textAlignment w:val="auto"/>
        <w:outlineLvl w:val="9"/>
        <w:rPr>
          <w:rFonts w:hint="eastAsia" w:ascii="仿宋" w:hAnsi="仿宋" w:eastAsia="仿宋" w:cs="仿宋"/>
          <w:b w:val="0"/>
          <w:bCs/>
          <w:sz w:val="28"/>
          <w:szCs w:val="28"/>
          <w:highlight w:val="none"/>
          <w:lang w:val="en-US" w:eastAsia="zh-CN"/>
        </w:rPr>
      </w:pPr>
      <w:r>
        <w:rPr>
          <w:rFonts w:hint="eastAsia" w:ascii="仿宋" w:hAnsi="仿宋" w:eastAsia="仿宋" w:cs="仿宋"/>
          <w:b w:val="0"/>
          <w:bCs/>
          <w:sz w:val="28"/>
          <w:szCs w:val="28"/>
          <w:highlight w:val="none"/>
          <w:lang w:val="en-US" w:eastAsia="zh-CN"/>
        </w:rPr>
        <w:t>7.2、运输过程中因非自然灾害的不可抗力发生货物逾期运达、货物丢失、短少、损坏、污染等问题均由乙方按照提（送）货单记载的数量和单价进行赔偿，如未记载价格的，按照甲方要求全额赔偿。如用户追究甲方责任的所产生的经济损失由乙方全额赔偿。</w:t>
      </w:r>
    </w:p>
    <w:p>
      <w:pPr>
        <w:keepNext w:val="0"/>
        <w:keepLines w:val="0"/>
        <w:pageBreakBefore w:val="0"/>
        <w:widowControl w:val="0"/>
        <w:kinsoku/>
        <w:wordWrap/>
        <w:overflowPunct/>
        <w:topLinePunct w:val="0"/>
        <w:autoSpaceDE/>
        <w:autoSpaceDN/>
        <w:bidi w:val="0"/>
        <w:spacing w:line="360" w:lineRule="auto"/>
        <w:ind w:left="0" w:leftChars="0" w:right="0" w:rightChars="0" w:firstLine="560" w:firstLineChars="200"/>
        <w:jc w:val="both"/>
        <w:textAlignment w:val="auto"/>
        <w:outlineLvl w:val="9"/>
        <w:rPr>
          <w:rFonts w:hint="eastAsia" w:ascii="仿宋" w:hAnsi="仿宋" w:eastAsia="仿宋" w:cs="仿宋"/>
          <w:b w:val="0"/>
          <w:bCs/>
          <w:sz w:val="28"/>
          <w:szCs w:val="28"/>
          <w:highlight w:val="none"/>
          <w:lang w:val="en-US" w:eastAsia="zh-CN"/>
        </w:rPr>
      </w:pPr>
      <w:r>
        <w:rPr>
          <w:rFonts w:hint="eastAsia" w:ascii="仿宋" w:hAnsi="仿宋" w:eastAsia="仿宋" w:cs="仿宋"/>
          <w:b w:val="0"/>
          <w:bCs/>
          <w:sz w:val="28"/>
          <w:szCs w:val="28"/>
          <w:highlight w:val="none"/>
          <w:lang w:val="en-US" w:eastAsia="zh-CN"/>
        </w:rPr>
        <w:t>7.3、乙方承诺运输的最晚时限为装车出库后24小时之内到达，若未能够按照规定的时间到达甲方指定的交货地点，则按照货物运费费用的一半进行罚款，如用户追究甲方责任的所产生的经济损失由乙方全额赔偿。</w:t>
      </w:r>
    </w:p>
    <w:p>
      <w:pPr>
        <w:keepNext w:val="0"/>
        <w:keepLines w:val="0"/>
        <w:pageBreakBefore w:val="0"/>
        <w:widowControl w:val="0"/>
        <w:kinsoku/>
        <w:wordWrap/>
        <w:overflowPunct/>
        <w:topLinePunct w:val="0"/>
        <w:autoSpaceDE/>
        <w:autoSpaceDN/>
        <w:bidi w:val="0"/>
        <w:spacing w:line="360" w:lineRule="auto"/>
        <w:ind w:left="0" w:leftChars="0" w:right="0" w:rightChars="0" w:firstLine="560" w:firstLineChars="200"/>
        <w:jc w:val="both"/>
        <w:textAlignment w:val="auto"/>
        <w:outlineLvl w:val="9"/>
        <w:rPr>
          <w:rFonts w:hint="eastAsia" w:ascii="仿宋" w:hAnsi="仿宋" w:eastAsia="仿宋" w:cs="仿宋"/>
          <w:b w:val="0"/>
          <w:bCs/>
          <w:sz w:val="28"/>
          <w:szCs w:val="28"/>
          <w:highlight w:val="none"/>
          <w:lang w:val="en-US" w:eastAsia="zh-CN"/>
        </w:rPr>
      </w:pPr>
      <w:r>
        <w:rPr>
          <w:rFonts w:hint="eastAsia" w:ascii="仿宋" w:hAnsi="仿宋" w:eastAsia="仿宋" w:cs="仿宋"/>
          <w:b w:val="0"/>
          <w:bCs/>
          <w:sz w:val="28"/>
          <w:szCs w:val="28"/>
          <w:highlight w:val="none"/>
          <w:lang w:val="en-US" w:eastAsia="zh-CN"/>
        </w:rPr>
        <w:t>7.4、如发生自然灾难等不可抗力造成货物无法按时运达到目的地时，乙方应将情况告知甲方，并获得认可，以便甲方与用户协调，如乙方未向甲方告知原因，甲方所有损失均由乙方承担。</w:t>
      </w:r>
    </w:p>
    <w:p>
      <w:pPr>
        <w:keepNext w:val="0"/>
        <w:keepLines w:val="0"/>
        <w:pageBreakBefore w:val="0"/>
        <w:widowControl w:val="0"/>
        <w:kinsoku/>
        <w:wordWrap/>
        <w:overflowPunct/>
        <w:topLinePunct w:val="0"/>
        <w:autoSpaceDE/>
        <w:autoSpaceDN/>
        <w:bidi w:val="0"/>
        <w:spacing w:line="360" w:lineRule="auto"/>
        <w:ind w:left="0" w:leftChars="0" w:right="0" w:rightChars="0" w:firstLine="560" w:firstLineChars="200"/>
        <w:jc w:val="both"/>
        <w:textAlignment w:val="auto"/>
        <w:outlineLvl w:val="9"/>
        <w:rPr>
          <w:rFonts w:hint="eastAsia" w:ascii="仿宋" w:hAnsi="仿宋" w:eastAsia="仿宋" w:cs="仿宋"/>
          <w:b w:val="0"/>
          <w:bCs/>
          <w:sz w:val="28"/>
          <w:szCs w:val="28"/>
          <w:highlight w:val="none"/>
          <w:lang w:val="en-US" w:eastAsia="zh-CN"/>
        </w:rPr>
      </w:pPr>
      <w:r>
        <w:rPr>
          <w:rFonts w:hint="eastAsia" w:ascii="仿宋" w:hAnsi="仿宋" w:eastAsia="仿宋" w:cs="仿宋"/>
          <w:b w:val="0"/>
          <w:bCs/>
          <w:sz w:val="28"/>
          <w:szCs w:val="28"/>
          <w:highlight w:val="none"/>
          <w:lang w:val="en-US" w:eastAsia="zh-CN"/>
        </w:rPr>
        <w:t>7.5、乙方承诺在收到甲方通知后，24小时内组织足够的运输车辆到达甲方指定的仓库，未按时到达，或数量不足，甲方将处以乙方500.00元/车次的违约金。乙方不得因货物单车装载数量少而为由而拒绝甲方的运输要求，否则甲方将处以乙方500.00元/车次的违约金。乙方承诺按照甲方批准同意的配送货物运输线路行驶，未按批准同意的线路行驶的，甲方将处以5000.00元/车次的违约金。违约金从乙方每期支付运输款项或履约保证金中予以扣除，一经扣除，不再返还。</w:t>
      </w:r>
    </w:p>
    <w:p>
      <w:pPr>
        <w:keepNext w:val="0"/>
        <w:keepLines w:val="0"/>
        <w:pageBreakBefore w:val="0"/>
        <w:widowControl w:val="0"/>
        <w:kinsoku/>
        <w:wordWrap/>
        <w:overflowPunct/>
        <w:topLinePunct w:val="0"/>
        <w:autoSpaceDE/>
        <w:autoSpaceDN/>
        <w:bidi w:val="0"/>
        <w:spacing w:line="360" w:lineRule="auto"/>
        <w:ind w:left="0" w:leftChars="0" w:right="0" w:rightChars="0" w:firstLine="560" w:firstLineChars="200"/>
        <w:jc w:val="both"/>
        <w:textAlignment w:val="auto"/>
        <w:outlineLvl w:val="9"/>
        <w:rPr>
          <w:rFonts w:hint="eastAsia" w:ascii="仿宋" w:hAnsi="仿宋" w:eastAsia="仿宋" w:cs="仿宋"/>
          <w:b w:val="0"/>
          <w:bCs/>
          <w:sz w:val="28"/>
          <w:szCs w:val="28"/>
          <w:highlight w:val="none"/>
          <w:lang w:val="en-US" w:eastAsia="zh-CN"/>
        </w:rPr>
      </w:pPr>
      <w:r>
        <w:rPr>
          <w:rFonts w:hint="eastAsia" w:ascii="仿宋" w:hAnsi="仿宋" w:eastAsia="仿宋" w:cs="仿宋"/>
          <w:b w:val="0"/>
          <w:bCs/>
          <w:sz w:val="28"/>
          <w:szCs w:val="28"/>
          <w:highlight w:val="none"/>
          <w:lang w:val="en-US" w:eastAsia="zh-CN"/>
        </w:rPr>
        <w:t>7.6、在甲方对乙方下列违约行为而采取的任何补救措施不受影响的情况下，即在乙方收到甲方发出的违约通知后三天内（或经甲方书面同意的更长时间内）仍未纠正违约行为，甲方可向乙方发出书面违约通知，终止全面或部分合同：</w:t>
      </w:r>
    </w:p>
    <w:p>
      <w:pPr>
        <w:keepNext w:val="0"/>
        <w:keepLines w:val="0"/>
        <w:pageBreakBefore w:val="0"/>
        <w:widowControl w:val="0"/>
        <w:kinsoku/>
        <w:wordWrap/>
        <w:overflowPunct/>
        <w:topLinePunct w:val="0"/>
        <w:autoSpaceDE/>
        <w:autoSpaceDN/>
        <w:bidi w:val="0"/>
        <w:spacing w:line="360" w:lineRule="auto"/>
        <w:ind w:left="0" w:leftChars="0" w:right="0" w:rightChars="0" w:firstLine="560" w:firstLineChars="200"/>
        <w:jc w:val="both"/>
        <w:textAlignment w:val="auto"/>
        <w:outlineLvl w:val="9"/>
        <w:rPr>
          <w:rFonts w:hint="eastAsia" w:ascii="仿宋" w:hAnsi="仿宋" w:eastAsia="仿宋" w:cs="仿宋"/>
          <w:b w:val="0"/>
          <w:bCs/>
          <w:sz w:val="28"/>
          <w:szCs w:val="28"/>
          <w:highlight w:val="none"/>
          <w:lang w:val="en-US" w:eastAsia="zh-CN"/>
        </w:rPr>
      </w:pPr>
      <w:r>
        <w:rPr>
          <w:rFonts w:hint="eastAsia" w:ascii="仿宋" w:hAnsi="仿宋" w:eastAsia="仿宋" w:cs="仿宋"/>
          <w:b w:val="0"/>
          <w:bCs/>
          <w:sz w:val="28"/>
          <w:szCs w:val="28"/>
          <w:highlight w:val="none"/>
          <w:lang w:val="en-US" w:eastAsia="zh-CN"/>
        </w:rPr>
        <w:t>7.6.1、多次出现装车不足，或者未按时到达，甲方对乙方处以违约金已经累计达到10000.00元时。</w:t>
      </w:r>
    </w:p>
    <w:p>
      <w:pPr>
        <w:keepNext w:val="0"/>
        <w:keepLines w:val="0"/>
        <w:pageBreakBefore w:val="0"/>
        <w:widowControl w:val="0"/>
        <w:kinsoku/>
        <w:wordWrap/>
        <w:overflowPunct/>
        <w:topLinePunct w:val="0"/>
        <w:autoSpaceDE/>
        <w:autoSpaceDN/>
        <w:bidi w:val="0"/>
        <w:spacing w:line="360" w:lineRule="auto"/>
        <w:ind w:left="0" w:leftChars="0" w:right="0" w:rightChars="0" w:firstLine="560" w:firstLineChars="200"/>
        <w:jc w:val="both"/>
        <w:textAlignment w:val="auto"/>
        <w:outlineLvl w:val="9"/>
        <w:rPr>
          <w:rFonts w:hint="eastAsia" w:ascii="仿宋" w:hAnsi="仿宋" w:eastAsia="仿宋" w:cs="仿宋"/>
          <w:b w:val="0"/>
          <w:bCs/>
          <w:sz w:val="28"/>
          <w:szCs w:val="28"/>
          <w:highlight w:val="none"/>
          <w:lang w:val="en-US" w:eastAsia="zh-CN"/>
        </w:rPr>
      </w:pPr>
      <w:r>
        <w:rPr>
          <w:rFonts w:hint="eastAsia" w:ascii="仿宋" w:hAnsi="仿宋" w:eastAsia="仿宋" w:cs="仿宋"/>
          <w:b w:val="0"/>
          <w:bCs/>
          <w:sz w:val="28"/>
          <w:szCs w:val="28"/>
          <w:highlight w:val="none"/>
          <w:lang w:val="en-US" w:eastAsia="zh-CN"/>
        </w:rPr>
        <w:t>7.6.2、乙方承诺按照甲方批准同意的配送货物的运输路线行驶，未按批准同意的路线行驶的，甲方对乙方的违约金已达到30000.00元时。</w:t>
      </w:r>
    </w:p>
    <w:p>
      <w:pPr>
        <w:keepNext w:val="0"/>
        <w:keepLines w:val="0"/>
        <w:pageBreakBefore w:val="0"/>
        <w:widowControl w:val="0"/>
        <w:kinsoku/>
        <w:wordWrap/>
        <w:overflowPunct/>
        <w:topLinePunct w:val="0"/>
        <w:autoSpaceDE/>
        <w:autoSpaceDN/>
        <w:bidi w:val="0"/>
        <w:spacing w:line="360" w:lineRule="auto"/>
        <w:ind w:left="0" w:leftChars="0" w:right="0" w:rightChars="0" w:firstLine="560" w:firstLineChars="200"/>
        <w:jc w:val="both"/>
        <w:textAlignment w:val="auto"/>
        <w:outlineLvl w:val="9"/>
        <w:rPr>
          <w:rFonts w:hint="eastAsia" w:ascii="仿宋" w:hAnsi="仿宋" w:eastAsia="仿宋" w:cs="仿宋"/>
          <w:b w:val="0"/>
          <w:bCs/>
          <w:sz w:val="28"/>
          <w:szCs w:val="28"/>
          <w:highlight w:val="none"/>
          <w:lang w:val="en-US" w:eastAsia="zh-CN"/>
        </w:rPr>
      </w:pPr>
      <w:r>
        <w:rPr>
          <w:rFonts w:hint="eastAsia" w:ascii="仿宋" w:hAnsi="仿宋" w:eastAsia="仿宋" w:cs="仿宋"/>
          <w:b w:val="0"/>
          <w:bCs/>
          <w:sz w:val="28"/>
          <w:szCs w:val="28"/>
          <w:highlight w:val="none"/>
          <w:lang w:val="en-US" w:eastAsia="zh-CN"/>
        </w:rPr>
        <w:t>一旦甲方根据上述合同条款终止部分或全部合同，甲方可以按其认为适当的条件和方式，采购类似未履行部分的服务。乙方应承担甲方购买类似服务的额外费用。但是乙方应继续履行合同中未终止的部分。</w:t>
      </w:r>
    </w:p>
    <w:p>
      <w:pPr>
        <w:keepNext w:val="0"/>
        <w:keepLines w:val="0"/>
        <w:pageBreakBefore w:val="0"/>
        <w:widowControl w:val="0"/>
        <w:kinsoku/>
        <w:wordWrap/>
        <w:overflowPunct/>
        <w:topLinePunct w:val="0"/>
        <w:autoSpaceDE/>
        <w:autoSpaceDN/>
        <w:bidi w:val="0"/>
        <w:spacing w:line="360" w:lineRule="auto"/>
        <w:ind w:right="0" w:rightChars="0"/>
        <w:jc w:val="both"/>
        <w:textAlignment w:val="auto"/>
        <w:outlineLvl w:val="9"/>
        <w:rPr>
          <w:rFonts w:hint="eastAsia" w:ascii="仿宋" w:hAnsi="仿宋" w:eastAsia="仿宋" w:cs="仿宋"/>
          <w:b w:val="0"/>
          <w:bCs/>
          <w:sz w:val="28"/>
          <w:szCs w:val="28"/>
          <w:highlight w:val="none"/>
          <w:lang w:val="en-US" w:eastAsia="zh-CN"/>
        </w:rPr>
      </w:pPr>
      <w:r>
        <w:rPr>
          <w:rFonts w:hint="eastAsia" w:ascii="仿宋" w:hAnsi="仿宋" w:eastAsia="仿宋" w:cs="仿宋"/>
          <w:b/>
          <w:bCs w:val="0"/>
          <w:sz w:val="28"/>
          <w:szCs w:val="28"/>
          <w:highlight w:val="none"/>
          <w:lang w:val="en-US" w:eastAsia="zh-CN"/>
        </w:rPr>
        <w:t>8  保密义务</w:t>
      </w:r>
    </w:p>
    <w:p>
      <w:pPr>
        <w:keepNext w:val="0"/>
        <w:keepLines w:val="0"/>
        <w:pageBreakBefore w:val="0"/>
        <w:widowControl w:val="0"/>
        <w:kinsoku/>
        <w:wordWrap/>
        <w:overflowPunct/>
        <w:topLinePunct w:val="0"/>
        <w:autoSpaceDE/>
        <w:autoSpaceDN/>
        <w:bidi w:val="0"/>
        <w:spacing w:line="360" w:lineRule="auto"/>
        <w:ind w:left="0" w:leftChars="0" w:right="0" w:rightChars="0" w:firstLine="560" w:firstLineChars="200"/>
        <w:jc w:val="both"/>
        <w:textAlignment w:val="auto"/>
        <w:outlineLvl w:val="9"/>
        <w:rPr>
          <w:rFonts w:hint="eastAsia" w:ascii="仿宋" w:hAnsi="仿宋" w:eastAsia="仿宋" w:cs="仿宋"/>
          <w:b w:val="0"/>
          <w:bCs/>
          <w:sz w:val="28"/>
          <w:szCs w:val="28"/>
          <w:highlight w:val="none"/>
          <w:lang w:val="en-US" w:eastAsia="zh-CN"/>
        </w:rPr>
      </w:pPr>
      <w:r>
        <w:rPr>
          <w:rFonts w:hint="eastAsia" w:ascii="仿宋" w:hAnsi="仿宋" w:eastAsia="仿宋" w:cs="仿宋"/>
          <w:b w:val="0"/>
          <w:bCs/>
          <w:sz w:val="28"/>
          <w:szCs w:val="28"/>
          <w:highlight w:val="none"/>
          <w:lang w:val="en-US" w:eastAsia="zh-CN"/>
        </w:rPr>
        <w:t xml:space="preserve">8.1、本合作协议涉及的权利或义务，未经一方的书面同意，另一方不得直接或间接转让、委托或移交他人。    </w:t>
      </w:r>
    </w:p>
    <w:p>
      <w:pPr>
        <w:keepNext w:val="0"/>
        <w:keepLines w:val="0"/>
        <w:pageBreakBefore w:val="0"/>
        <w:widowControl w:val="0"/>
        <w:kinsoku/>
        <w:wordWrap/>
        <w:overflowPunct/>
        <w:topLinePunct w:val="0"/>
        <w:autoSpaceDE/>
        <w:autoSpaceDN/>
        <w:bidi w:val="0"/>
        <w:spacing w:line="360" w:lineRule="auto"/>
        <w:ind w:left="0" w:leftChars="0" w:right="0" w:rightChars="0" w:firstLine="560" w:firstLineChars="200"/>
        <w:jc w:val="both"/>
        <w:textAlignment w:val="auto"/>
        <w:outlineLvl w:val="9"/>
        <w:rPr>
          <w:rFonts w:hint="eastAsia" w:ascii="仿宋" w:hAnsi="仿宋" w:eastAsia="仿宋" w:cs="仿宋"/>
          <w:b w:val="0"/>
          <w:bCs/>
          <w:sz w:val="28"/>
          <w:szCs w:val="28"/>
          <w:highlight w:val="none"/>
          <w:lang w:val="en-US" w:eastAsia="zh-CN"/>
        </w:rPr>
      </w:pPr>
      <w:r>
        <w:rPr>
          <w:rFonts w:hint="eastAsia" w:ascii="仿宋" w:hAnsi="仿宋" w:eastAsia="仿宋" w:cs="仿宋"/>
          <w:b w:val="0"/>
          <w:bCs/>
          <w:sz w:val="28"/>
          <w:szCs w:val="28"/>
          <w:highlight w:val="none"/>
          <w:lang w:val="en-US" w:eastAsia="zh-CN"/>
        </w:rPr>
        <w:t xml:space="preserve">8.2、甲乙双方应对本合作协议中所涉及的内容严格保密，未经一方事先的书面许可，另一方不得以任何形式将本合作协议中所涉及的技术及商业信息向第三方出卖、转让或泄露。 </w:t>
      </w:r>
    </w:p>
    <w:p>
      <w:pPr>
        <w:keepNext w:val="0"/>
        <w:keepLines w:val="0"/>
        <w:pageBreakBefore w:val="0"/>
        <w:widowControl w:val="0"/>
        <w:kinsoku/>
        <w:wordWrap/>
        <w:overflowPunct/>
        <w:topLinePunct w:val="0"/>
        <w:autoSpaceDE/>
        <w:autoSpaceDN/>
        <w:bidi w:val="0"/>
        <w:spacing w:line="360" w:lineRule="auto"/>
        <w:ind w:right="0" w:rightChars="0"/>
        <w:jc w:val="both"/>
        <w:textAlignment w:val="auto"/>
        <w:outlineLvl w:val="9"/>
        <w:rPr>
          <w:rFonts w:hint="eastAsia" w:ascii="仿宋" w:hAnsi="仿宋" w:eastAsia="仿宋" w:cs="仿宋"/>
          <w:b/>
          <w:bCs w:val="0"/>
          <w:sz w:val="28"/>
          <w:szCs w:val="28"/>
          <w:highlight w:val="none"/>
          <w:lang w:val="en-US" w:eastAsia="zh-CN"/>
        </w:rPr>
      </w:pPr>
      <w:r>
        <w:rPr>
          <w:rFonts w:hint="eastAsia" w:ascii="仿宋" w:hAnsi="仿宋" w:eastAsia="仿宋" w:cs="仿宋"/>
          <w:b/>
          <w:bCs w:val="0"/>
          <w:sz w:val="28"/>
          <w:szCs w:val="28"/>
          <w:highlight w:val="none"/>
          <w:lang w:val="en-US" w:eastAsia="zh-CN"/>
        </w:rPr>
        <w:t>9  违约</w:t>
      </w:r>
    </w:p>
    <w:p>
      <w:pPr>
        <w:keepNext w:val="0"/>
        <w:keepLines w:val="0"/>
        <w:pageBreakBefore w:val="0"/>
        <w:widowControl w:val="0"/>
        <w:kinsoku/>
        <w:wordWrap/>
        <w:overflowPunct/>
        <w:topLinePunct w:val="0"/>
        <w:autoSpaceDE/>
        <w:autoSpaceDN/>
        <w:bidi w:val="0"/>
        <w:spacing w:line="360" w:lineRule="auto"/>
        <w:ind w:left="0" w:leftChars="0" w:right="0" w:rightChars="0" w:firstLine="560" w:firstLineChars="200"/>
        <w:jc w:val="both"/>
        <w:textAlignment w:val="auto"/>
        <w:outlineLvl w:val="9"/>
        <w:rPr>
          <w:rFonts w:hint="eastAsia" w:ascii="仿宋" w:hAnsi="仿宋" w:eastAsia="仿宋" w:cs="仿宋"/>
          <w:b w:val="0"/>
          <w:bCs/>
          <w:sz w:val="28"/>
          <w:szCs w:val="28"/>
          <w:highlight w:val="none"/>
          <w:lang w:val="en-US" w:eastAsia="zh-CN"/>
        </w:rPr>
      </w:pPr>
      <w:r>
        <w:rPr>
          <w:rFonts w:hint="eastAsia" w:ascii="仿宋" w:hAnsi="仿宋" w:eastAsia="仿宋" w:cs="仿宋"/>
          <w:b w:val="0"/>
          <w:bCs/>
          <w:sz w:val="28"/>
          <w:szCs w:val="28"/>
          <w:highlight w:val="none"/>
          <w:lang w:val="en-US" w:eastAsia="zh-CN"/>
        </w:rPr>
        <w:t>9.l、本协议自双方签字盖章后生效，任何一方不得擅自变更或终止该协议。否则承担违约责任，若乙方违约，甲方将没收其履约保证金。</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right="0" w:rightChars="0"/>
        <w:textAlignment w:val="auto"/>
        <w:outlineLvl w:val="9"/>
        <w:rPr>
          <w:rFonts w:hint="eastAsia" w:ascii="仿宋" w:hAnsi="仿宋" w:eastAsia="仿宋" w:cs="仿宋"/>
          <w:b w:val="0"/>
          <w:bCs/>
          <w:sz w:val="28"/>
          <w:szCs w:val="28"/>
          <w:highlight w:val="none"/>
          <w:lang w:val="en-US" w:eastAsia="zh-CN"/>
        </w:rPr>
      </w:pPr>
      <w:r>
        <w:rPr>
          <w:rFonts w:hint="eastAsia" w:ascii="仿宋" w:hAnsi="仿宋" w:eastAsia="仿宋" w:cs="仿宋"/>
          <w:b w:val="0"/>
          <w:bCs/>
          <w:sz w:val="28"/>
          <w:szCs w:val="28"/>
          <w:highlight w:val="none"/>
          <w:lang w:val="en-US" w:eastAsia="zh-CN"/>
        </w:rPr>
        <w:t>9.2、如遇不可抗力的因素影响本合作协议的执行，双方均不负责对方因此造成的损失。</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right="0" w:rightChars="0"/>
        <w:textAlignment w:val="auto"/>
        <w:outlineLvl w:val="9"/>
        <w:rPr>
          <w:rFonts w:hint="eastAsia" w:ascii="仿宋_GB2312" w:hAnsi="仿宋_GB2312" w:eastAsia="仿宋_GB2312" w:cs="仿宋_GB2312"/>
          <w:b/>
          <w:bCs/>
          <w:color w:val="auto"/>
          <w:sz w:val="28"/>
          <w:szCs w:val="28"/>
          <w:highlight w:val="none"/>
          <w:lang w:eastAsia="zh-CN"/>
        </w:rPr>
      </w:pPr>
      <w:r>
        <w:rPr>
          <w:rFonts w:hint="eastAsia" w:ascii="仿宋_GB2312" w:hAnsi="仿宋_GB2312" w:eastAsia="仿宋_GB2312" w:cs="仿宋_GB2312"/>
          <w:b/>
          <w:bCs/>
          <w:color w:val="auto"/>
          <w:sz w:val="28"/>
          <w:szCs w:val="28"/>
          <w:highlight w:val="none"/>
          <w:lang w:val="en-US" w:eastAsia="zh-CN"/>
        </w:rPr>
        <w:t xml:space="preserve">10 </w:t>
      </w:r>
      <w:r>
        <w:rPr>
          <w:rFonts w:hint="eastAsia" w:ascii="仿宋_GB2312" w:hAnsi="仿宋_GB2312" w:eastAsia="仿宋_GB2312" w:cs="仿宋_GB2312"/>
          <w:b/>
          <w:bCs/>
          <w:color w:val="auto"/>
          <w:sz w:val="28"/>
          <w:szCs w:val="28"/>
          <w:highlight w:val="none"/>
          <w:lang w:eastAsia="zh-CN"/>
        </w:rPr>
        <w:t>“货物流”条款。</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right="0" w:rightChars="0"/>
        <w:textAlignment w:val="auto"/>
        <w:outlineLvl w:val="9"/>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lang w:val="en-US" w:eastAsia="zh-CN"/>
        </w:rPr>
        <w:t xml:space="preserve">    </w:t>
      </w:r>
      <w:r>
        <w:rPr>
          <w:rFonts w:hint="eastAsia" w:ascii="仿宋_GB2312" w:hAnsi="仿宋_GB2312" w:eastAsia="仿宋_GB2312" w:cs="仿宋_GB2312"/>
          <w:color w:val="auto"/>
          <w:sz w:val="28"/>
          <w:szCs w:val="28"/>
          <w:highlight w:val="none"/>
          <w:lang w:eastAsia="zh-CN"/>
        </w:rPr>
        <w:t>本合同约定双方在合同履行过程中必须做到，保证“货物流”、“资金流”、“发票流”、“合同流”四流一致。</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right="0" w:rightChars="0" w:firstLine="480"/>
        <w:textAlignment w:val="auto"/>
        <w:outlineLvl w:val="9"/>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lang w:val="en-US" w:eastAsia="zh-CN"/>
        </w:rPr>
        <w:t>乙</w:t>
      </w:r>
      <w:r>
        <w:rPr>
          <w:rFonts w:hint="eastAsia" w:ascii="仿宋_GB2312" w:hAnsi="仿宋_GB2312" w:eastAsia="仿宋_GB2312" w:cs="仿宋_GB2312"/>
          <w:color w:val="auto"/>
          <w:sz w:val="28"/>
          <w:szCs w:val="28"/>
          <w:highlight w:val="none"/>
          <w:lang w:eastAsia="zh-CN"/>
        </w:rPr>
        <w:t>方应</w:t>
      </w:r>
      <w:r>
        <w:rPr>
          <w:rFonts w:hint="eastAsia" w:ascii="仿宋_GB2312" w:hAnsi="仿宋_GB2312" w:eastAsia="仿宋_GB2312" w:cs="仿宋_GB2312"/>
          <w:color w:val="auto"/>
          <w:sz w:val="28"/>
          <w:szCs w:val="28"/>
          <w:highlight w:val="none"/>
          <w:lang w:val="en-US" w:eastAsia="zh-CN"/>
        </w:rPr>
        <w:t>向甲</w:t>
      </w:r>
      <w:r>
        <w:rPr>
          <w:rFonts w:hint="eastAsia" w:ascii="仿宋_GB2312" w:hAnsi="仿宋_GB2312" w:eastAsia="仿宋_GB2312" w:cs="仿宋_GB2312"/>
          <w:color w:val="auto"/>
          <w:sz w:val="28"/>
          <w:szCs w:val="28"/>
          <w:highlight w:val="none"/>
          <w:lang w:eastAsia="zh-CN"/>
        </w:rPr>
        <w:t>方提供其货物发出的出库凭证、物流信息及票据，连同增值税专用发票一起交付</w:t>
      </w:r>
      <w:r>
        <w:rPr>
          <w:rFonts w:hint="eastAsia" w:ascii="仿宋_GB2312" w:hAnsi="仿宋_GB2312" w:eastAsia="仿宋_GB2312" w:cs="仿宋_GB2312"/>
          <w:color w:val="auto"/>
          <w:sz w:val="28"/>
          <w:szCs w:val="28"/>
          <w:highlight w:val="none"/>
          <w:lang w:val="en-US" w:eastAsia="zh-CN"/>
        </w:rPr>
        <w:t>甲</w:t>
      </w:r>
      <w:r>
        <w:rPr>
          <w:rFonts w:hint="eastAsia" w:ascii="仿宋_GB2312" w:hAnsi="仿宋_GB2312" w:eastAsia="仿宋_GB2312" w:cs="仿宋_GB2312"/>
          <w:color w:val="auto"/>
          <w:sz w:val="28"/>
          <w:szCs w:val="28"/>
          <w:highlight w:val="none"/>
          <w:lang w:eastAsia="zh-CN"/>
        </w:rPr>
        <w:t>方。如果本合同项下货物系由第三方发出，则</w:t>
      </w:r>
      <w:r>
        <w:rPr>
          <w:rFonts w:hint="eastAsia" w:ascii="仿宋_GB2312" w:hAnsi="仿宋_GB2312" w:eastAsia="仿宋_GB2312" w:cs="仿宋_GB2312"/>
          <w:color w:val="auto"/>
          <w:sz w:val="28"/>
          <w:szCs w:val="28"/>
          <w:highlight w:val="none"/>
          <w:lang w:val="en-US" w:eastAsia="zh-CN"/>
        </w:rPr>
        <w:t>乙</w:t>
      </w:r>
      <w:r>
        <w:rPr>
          <w:rFonts w:hint="eastAsia" w:ascii="仿宋_GB2312" w:hAnsi="仿宋_GB2312" w:eastAsia="仿宋_GB2312" w:cs="仿宋_GB2312"/>
          <w:color w:val="auto"/>
          <w:sz w:val="28"/>
          <w:szCs w:val="28"/>
          <w:highlight w:val="none"/>
          <w:lang w:eastAsia="zh-CN"/>
        </w:rPr>
        <w:t>方需要提供委托第三方发货的手续、第三方出库凭证、物流信息及票据。</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right="0" w:rightChars="0"/>
        <w:textAlignment w:val="auto"/>
        <w:outlineLvl w:val="9"/>
        <w:rPr>
          <w:rFonts w:hint="eastAsia" w:ascii="仿宋_GB2312" w:hAnsi="仿宋_GB2312" w:eastAsia="仿宋_GB2312" w:cs="仿宋_GB2312"/>
          <w:b/>
          <w:bCs/>
          <w:color w:val="auto"/>
          <w:sz w:val="28"/>
          <w:szCs w:val="28"/>
          <w:highlight w:val="none"/>
          <w:u w:val="none"/>
          <w:lang w:val="en-US" w:eastAsia="zh-CN"/>
        </w:rPr>
      </w:pPr>
      <w:r>
        <w:rPr>
          <w:rFonts w:hint="eastAsia" w:ascii="仿宋_GB2312" w:hAnsi="仿宋_GB2312" w:eastAsia="仿宋_GB2312" w:cs="仿宋_GB2312"/>
          <w:b/>
          <w:bCs/>
          <w:color w:val="auto"/>
          <w:sz w:val="28"/>
          <w:szCs w:val="28"/>
          <w:highlight w:val="none"/>
          <w:lang w:val="en-US" w:eastAsia="zh-CN"/>
        </w:rPr>
        <w:t xml:space="preserve">11 </w:t>
      </w:r>
      <w:r>
        <w:rPr>
          <w:rFonts w:hint="eastAsia" w:ascii="仿宋_GB2312" w:hAnsi="仿宋_GB2312" w:eastAsia="仿宋_GB2312" w:cs="仿宋_GB2312"/>
          <w:b/>
          <w:bCs/>
          <w:color w:val="auto"/>
          <w:sz w:val="28"/>
          <w:szCs w:val="28"/>
          <w:highlight w:val="none"/>
          <w:lang w:eastAsia="zh-CN"/>
        </w:rPr>
        <w:t>发票开具的约定。</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right="0" w:rightChars="0" w:firstLine="560" w:firstLineChars="200"/>
        <w:textAlignment w:val="auto"/>
        <w:outlineLvl w:val="9"/>
        <w:rPr>
          <w:rFonts w:hint="eastAsia" w:ascii="仿宋_GB2312" w:hAnsi="仿宋_GB2312" w:eastAsia="仿宋_GB2312" w:cs="仿宋_GB2312"/>
          <w:color w:val="auto"/>
          <w:sz w:val="28"/>
          <w:szCs w:val="28"/>
          <w:highlight w:val="none"/>
          <w:u w:val="none"/>
          <w:lang w:val="en-US" w:eastAsia="zh-CN"/>
        </w:rPr>
      </w:pPr>
      <w:r>
        <w:rPr>
          <w:rFonts w:hint="eastAsia" w:ascii="仿宋_GB2312" w:hAnsi="仿宋_GB2312" w:eastAsia="仿宋_GB2312" w:cs="仿宋_GB2312"/>
          <w:color w:val="auto"/>
          <w:sz w:val="28"/>
          <w:szCs w:val="28"/>
          <w:highlight w:val="none"/>
          <w:lang w:val="en-US" w:eastAsia="zh-CN"/>
        </w:rPr>
        <w:t>11.1、</w:t>
      </w:r>
      <w:r>
        <w:rPr>
          <w:rFonts w:hint="eastAsia" w:ascii="仿宋_GB2312" w:hAnsi="仿宋_GB2312" w:eastAsia="仿宋_GB2312" w:cs="仿宋_GB2312"/>
          <w:color w:val="auto"/>
          <w:sz w:val="28"/>
          <w:szCs w:val="28"/>
          <w:highlight w:val="none"/>
          <w:u w:val="none"/>
          <w:lang w:val="en-US" w:eastAsia="zh-CN"/>
        </w:rPr>
        <w:t>乙方开具的增值税专用发票，必须保证发票票面信息全部真实、准确，相关材料品目、价款等内容与本合同相一致。乙方开具的发票不合格的，甲方有权迟延支付应付款项直至取得符合上述要求的发票为止，且不承担任何违约责任，乙方的各项合同义务仍按合同约定履行。</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right="0" w:rightChars="0" w:firstLine="480"/>
        <w:textAlignment w:val="auto"/>
        <w:outlineLvl w:val="9"/>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 xml:space="preserve"> 不合格发票包括但不限于以下情形：</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right="0" w:rightChars="0" w:firstLine="480"/>
        <w:textAlignment w:val="auto"/>
        <w:outlineLvl w:val="9"/>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11.1.1、开具虚假、作废等无效发票或者违反国家法律法规开具、提供发票的；</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right="0" w:rightChars="0" w:firstLine="480"/>
        <w:textAlignment w:val="auto"/>
        <w:outlineLvl w:val="9"/>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11.1.2、开具发票种类错误的；</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right="0" w:rightChars="0" w:firstLine="480"/>
        <w:textAlignment w:val="auto"/>
        <w:outlineLvl w:val="9"/>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11.1.3、开具发票税率与合同约定不符的；</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right="0" w:rightChars="0" w:firstLine="480"/>
        <w:textAlignment w:val="auto"/>
        <w:outlineLvl w:val="9"/>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11.1.4、发票上的信息，记载要素错误的；</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right="0" w:rightChars="0" w:firstLine="480"/>
        <w:textAlignment w:val="auto"/>
        <w:outlineLvl w:val="9"/>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11.1.5、因乙方迟延送达、开具错误等原因造成发票认证失败的等。</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right="0" w:rightChars="0" w:firstLine="480"/>
        <w:textAlignment w:val="auto"/>
        <w:outlineLvl w:val="9"/>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11.2、如乙方违反国家法律、法规以及政策等相关规定向甲方开具、提供增值税抵扣凭证，由乙方自行承担相应法律责任。如果由于乙方违反国家法律、法规以及政策等相关规定造成甲方的经济损失及引起税务问题的，乙方应承担向甲方的赔偿责任，包括但不限于货款、违约金、税款、滞纳金、罚金、罚款及相关损失等。</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right="0" w:rightChars="0" w:firstLine="480"/>
        <w:textAlignment w:val="auto"/>
        <w:outlineLvl w:val="9"/>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11.3、因乙方自身纳税人身份，纳税方式变化带来的适用增值税税率的变化，导致对甲方的损失应由乙方承担。</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right="0" w:rightChars="0" w:firstLine="480"/>
        <w:textAlignment w:val="auto"/>
        <w:outlineLvl w:val="9"/>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11.4、如果甲方丢失增值税专用发票联和抵扣联，乙方应无条件配合向甲方提供专用发票记账联复印件及主管税务机关出具的《丢失增值税专用发票已报税证明单》。</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right="0" w:rightChars="0" w:firstLine="480"/>
        <w:textAlignment w:val="auto"/>
        <w:outlineLvl w:val="9"/>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11.5、如果乙方开具汇总专用发票，则应提供其防伪税控系统开具的《销售货物或者提供应税劳务清单》，并加盖发票专用章。</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right="0" w:rightChars="0" w:firstLine="480"/>
        <w:textAlignment w:val="auto"/>
        <w:outlineLvl w:val="9"/>
        <w:rPr>
          <w:rFonts w:hint="eastAsia" w:ascii="仿宋" w:hAnsi="仿宋" w:eastAsia="仿宋" w:cs="仿宋"/>
          <w:b/>
          <w:color w:val="auto"/>
          <w:sz w:val="24"/>
          <w:szCs w:val="24"/>
          <w:highlight w:val="none"/>
        </w:rPr>
      </w:pPr>
      <w:r>
        <w:rPr>
          <w:rFonts w:hint="eastAsia" w:ascii="仿宋_GB2312" w:hAnsi="仿宋_GB2312" w:eastAsia="仿宋_GB2312" w:cs="仿宋_GB2312"/>
          <w:color w:val="auto"/>
          <w:sz w:val="28"/>
          <w:szCs w:val="28"/>
          <w:highlight w:val="none"/>
          <w:lang w:val="en-US" w:eastAsia="zh-CN"/>
        </w:rPr>
        <w:t>11.6、乙方收取价外费用的，需依法开具增值税专用发票。必要时，甲方可协调乙方提供开票所需合法资料。</w:t>
      </w:r>
    </w:p>
    <w:p>
      <w:pPr>
        <w:spacing w:line="360" w:lineRule="auto"/>
        <w:rPr>
          <w:rFonts w:hint="eastAsia" w:ascii="仿宋" w:hAnsi="仿宋" w:eastAsia="仿宋" w:cs="仿宋"/>
          <w:b/>
          <w:sz w:val="28"/>
          <w:szCs w:val="28"/>
          <w:highlight w:val="none"/>
          <w:lang w:eastAsia="zh-CN"/>
        </w:rPr>
      </w:pPr>
      <w:r>
        <w:rPr>
          <w:rFonts w:hint="eastAsia" w:ascii="仿宋" w:hAnsi="仿宋" w:eastAsia="仿宋" w:cs="仿宋"/>
          <w:b/>
          <w:sz w:val="28"/>
          <w:szCs w:val="28"/>
          <w:highlight w:val="none"/>
          <w:lang w:val="en-US" w:eastAsia="zh-CN"/>
        </w:rPr>
        <w:t xml:space="preserve">12 </w:t>
      </w:r>
      <w:r>
        <w:rPr>
          <w:rFonts w:hint="eastAsia" w:ascii="仿宋" w:hAnsi="仿宋" w:eastAsia="仿宋" w:cs="仿宋"/>
          <w:b/>
          <w:sz w:val="28"/>
          <w:szCs w:val="28"/>
          <w:highlight w:val="none"/>
        </w:rPr>
        <w:t>合同变更行为</w:t>
      </w:r>
      <w:r>
        <w:rPr>
          <w:rFonts w:hint="eastAsia" w:ascii="仿宋" w:hAnsi="仿宋" w:eastAsia="仿宋" w:cs="仿宋"/>
          <w:b/>
          <w:sz w:val="28"/>
          <w:szCs w:val="28"/>
          <w:highlight w:val="none"/>
          <w:lang w:eastAsia="zh-CN"/>
        </w:rPr>
        <w:t>。</w:t>
      </w:r>
    </w:p>
    <w:p>
      <w:pPr>
        <w:spacing w:line="360" w:lineRule="auto"/>
        <w:ind w:firstLine="560" w:firstLineChars="200"/>
        <w:jc w:val="left"/>
        <w:rPr>
          <w:rFonts w:hint="eastAsia" w:ascii="仿宋" w:hAnsi="仿宋" w:eastAsia="仿宋" w:cs="仿宋"/>
          <w:bCs/>
          <w:sz w:val="28"/>
          <w:szCs w:val="28"/>
          <w:highlight w:val="none"/>
        </w:rPr>
      </w:pPr>
      <w:r>
        <w:rPr>
          <w:rFonts w:hint="eastAsia" w:ascii="仿宋" w:hAnsi="仿宋" w:eastAsia="仿宋" w:cs="仿宋"/>
          <w:bCs/>
          <w:sz w:val="28"/>
          <w:szCs w:val="28"/>
          <w:highlight w:val="none"/>
        </w:rPr>
        <w:t>针对采购货物品种、规格、价款或因退货等增值税专用发票记载项目发生变化，可能存在作废、重开、补开、红字开具增值税专用发票等情形，本合同中约定如下：</w:t>
      </w:r>
    </w:p>
    <w:p>
      <w:pPr>
        <w:spacing w:line="360" w:lineRule="auto"/>
        <w:ind w:firstLine="560" w:firstLineChars="200"/>
        <w:jc w:val="left"/>
        <w:rPr>
          <w:rFonts w:hint="eastAsia" w:ascii="仿宋" w:hAnsi="仿宋" w:eastAsia="仿宋" w:cs="仿宋"/>
          <w:bCs/>
          <w:sz w:val="28"/>
          <w:szCs w:val="28"/>
          <w:highlight w:val="none"/>
        </w:rPr>
      </w:pPr>
      <w:r>
        <w:rPr>
          <w:rFonts w:hint="eastAsia" w:ascii="仿宋" w:hAnsi="仿宋" w:eastAsia="仿宋" w:cs="仿宋"/>
          <w:bCs/>
          <w:sz w:val="28"/>
          <w:szCs w:val="28"/>
          <w:highlight w:val="none"/>
        </w:rPr>
        <w:t>对于本合同变更导致发生变化的，需由双方签订补充合同，并履行各自的协助义务。如果</w:t>
      </w:r>
      <w:r>
        <w:rPr>
          <w:rFonts w:hint="eastAsia" w:ascii="仿宋" w:hAnsi="仿宋" w:eastAsia="仿宋" w:cs="仿宋"/>
          <w:bCs/>
          <w:sz w:val="28"/>
          <w:szCs w:val="28"/>
          <w:highlight w:val="none"/>
          <w:lang w:val="en-US" w:eastAsia="zh-CN"/>
        </w:rPr>
        <w:t>甲</w:t>
      </w:r>
      <w:r>
        <w:rPr>
          <w:rFonts w:hint="eastAsia" w:ascii="仿宋" w:hAnsi="仿宋" w:eastAsia="仿宋" w:cs="仿宋"/>
          <w:bCs/>
          <w:sz w:val="28"/>
          <w:szCs w:val="28"/>
          <w:highlight w:val="none"/>
        </w:rPr>
        <w:t>方取得增值税专用发票尚未认证抵扣，且发票开具当月退回给</w:t>
      </w:r>
      <w:r>
        <w:rPr>
          <w:rFonts w:hint="eastAsia" w:ascii="仿宋" w:hAnsi="仿宋" w:eastAsia="仿宋" w:cs="仿宋"/>
          <w:bCs/>
          <w:sz w:val="28"/>
          <w:szCs w:val="28"/>
          <w:highlight w:val="none"/>
          <w:lang w:val="en-US" w:eastAsia="zh-CN"/>
        </w:rPr>
        <w:t>乙</w:t>
      </w:r>
      <w:r>
        <w:rPr>
          <w:rFonts w:hint="eastAsia" w:ascii="仿宋" w:hAnsi="仿宋" w:eastAsia="仿宋" w:cs="仿宋"/>
          <w:bCs/>
          <w:sz w:val="28"/>
          <w:szCs w:val="28"/>
          <w:highlight w:val="none"/>
        </w:rPr>
        <w:t>方，则由</w:t>
      </w:r>
      <w:r>
        <w:rPr>
          <w:rFonts w:hint="eastAsia" w:ascii="仿宋" w:hAnsi="仿宋" w:eastAsia="仿宋" w:cs="仿宋"/>
          <w:bCs/>
          <w:sz w:val="28"/>
          <w:szCs w:val="28"/>
          <w:highlight w:val="none"/>
          <w:lang w:val="en-US" w:eastAsia="zh-CN"/>
        </w:rPr>
        <w:t>乙</w:t>
      </w:r>
      <w:r>
        <w:rPr>
          <w:rFonts w:hint="eastAsia" w:ascii="仿宋" w:hAnsi="仿宋" w:eastAsia="仿宋" w:cs="仿宋"/>
          <w:bCs/>
          <w:sz w:val="28"/>
          <w:szCs w:val="28"/>
          <w:highlight w:val="none"/>
        </w:rPr>
        <w:t>方作废原发票，重新开具增值税专用发票；如果</w:t>
      </w:r>
      <w:r>
        <w:rPr>
          <w:rFonts w:hint="eastAsia" w:ascii="仿宋" w:hAnsi="仿宋" w:eastAsia="仿宋" w:cs="仿宋"/>
          <w:bCs/>
          <w:sz w:val="28"/>
          <w:szCs w:val="28"/>
          <w:highlight w:val="none"/>
          <w:lang w:val="en-US" w:eastAsia="zh-CN"/>
        </w:rPr>
        <w:t>甲</w:t>
      </w:r>
      <w:r>
        <w:rPr>
          <w:rFonts w:hint="eastAsia" w:ascii="仿宋" w:hAnsi="仿宋" w:eastAsia="仿宋" w:cs="仿宋"/>
          <w:bCs/>
          <w:sz w:val="28"/>
          <w:szCs w:val="28"/>
          <w:highlight w:val="none"/>
        </w:rPr>
        <w:t>方取得增值税专用发票尚未认证抵扣，且开具发票已跨月，或者原增值税专用发票已经认证抵扣，则由</w:t>
      </w:r>
      <w:r>
        <w:rPr>
          <w:rFonts w:hint="eastAsia" w:ascii="仿宋" w:hAnsi="仿宋" w:eastAsia="仿宋" w:cs="仿宋"/>
          <w:bCs/>
          <w:sz w:val="28"/>
          <w:szCs w:val="28"/>
          <w:highlight w:val="none"/>
          <w:lang w:val="en-US" w:eastAsia="zh-CN"/>
        </w:rPr>
        <w:t>乙</w:t>
      </w:r>
      <w:r>
        <w:rPr>
          <w:rFonts w:hint="eastAsia" w:ascii="仿宋" w:hAnsi="仿宋" w:eastAsia="仿宋" w:cs="仿宋"/>
          <w:bCs/>
          <w:sz w:val="28"/>
          <w:szCs w:val="28"/>
          <w:highlight w:val="none"/>
        </w:rPr>
        <w:t>方就合同增加的金额补开增值税专用发票，就减少的金额开具红字增值税专用发票。</w:t>
      </w:r>
    </w:p>
    <w:p>
      <w:pPr>
        <w:spacing w:line="360" w:lineRule="auto"/>
        <w:rPr>
          <w:rFonts w:hint="eastAsia" w:ascii="仿宋" w:hAnsi="仿宋" w:eastAsia="仿宋" w:cs="仿宋"/>
          <w:b/>
          <w:sz w:val="28"/>
          <w:szCs w:val="28"/>
          <w:highlight w:val="none"/>
          <w:lang w:eastAsia="zh-CN"/>
        </w:rPr>
      </w:pPr>
      <w:r>
        <w:rPr>
          <w:rFonts w:hint="eastAsia" w:ascii="仿宋" w:hAnsi="仿宋" w:eastAsia="仿宋" w:cs="仿宋"/>
          <w:b/>
          <w:sz w:val="28"/>
          <w:szCs w:val="28"/>
          <w:highlight w:val="none"/>
        </w:rPr>
        <w:t>1</w:t>
      </w:r>
      <w:r>
        <w:rPr>
          <w:rFonts w:hint="eastAsia" w:ascii="仿宋" w:hAnsi="仿宋" w:eastAsia="仿宋" w:cs="仿宋"/>
          <w:b/>
          <w:sz w:val="28"/>
          <w:szCs w:val="28"/>
          <w:highlight w:val="none"/>
          <w:lang w:val="en-US" w:eastAsia="zh-CN"/>
        </w:rPr>
        <w:t>3</w:t>
      </w:r>
      <w:r>
        <w:rPr>
          <w:rFonts w:hint="eastAsia" w:ascii="仿宋" w:hAnsi="仿宋" w:eastAsia="仿宋" w:cs="仿宋"/>
          <w:b/>
          <w:sz w:val="28"/>
          <w:szCs w:val="28"/>
          <w:highlight w:val="none"/>
        </w:rPr>
        <w:t xml:space="preserve"> 责任</w:t>
      </w:r>
      <w:r>
        <w:rPr>
          <w:rFonts w:hint="eastAsia" w:ascii="仿宋" w:hAnsi="仿宋" w:eastAsia="仿宋" w:cs="仿宋"/>
          <w:b/>
          <w:sz w:val="28"/>
          <w:szCs w:val="28"/>
          <w:highlight w:val="none"/>
          <w:lang w:eastAsia="zh-CN"/>
        </w:rPr>
        <w:t>。</w:t>
      </w:r>
    </w:p>
    <w:p>
      <w:pPr>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13.1、</w:t>
      </w:r>
      <w:r>
        <w:rPr>
          <w:rFonts w:hint="eastAsia" w:ascii="仿宋" w:hAnsi="仿宋" w:eastAsia="仿宋" w:cs="仿宋"/>
          <w:sz w:val="28"/>
          <w:szCs w:val="28"/>
          <w:highlight w:val="none"/>
        </w:rPr>
        <w:t>乙方交付的产品和品种、型号、规格质量不符合合同规定的产品，甲方在代管期内实际支付的保管、保养等费用以及非因甲方保管不善而发生的损失，应由乙方承担。</w:t>
      </w:r>
    </w:p>
    <w:p>
      <w:pPr>
        <w:spacing w:line="360" w:lineRule="auto"/>
        <w:rPr>
          <w:rFonts w:hint="eastAsia" w:ascii="仿宋" w:hAnsi="仿宋" w:eastAsia="仿宋" w:cs="仿宋"/>
          <w:sz w:val="28"/>
          <w:szCs w:val="28"/>
          <w:highlight w:val="none"/>
        </w:rPr>
      </w:pPr>
      <w:r>
        <w:rPr>
          <w:rFonts w:hint="eastAsia" w:ascii="仿宋" w:hAnsi="仿宋" w:eastAsia="仿宋" w:cs="仿宋"/>
          <w:sz w:val="28"/>
          <w:szCs w:val="28"/>
          <w:highlight w:val="none"/>
        </w:rPr>
        <w:t xml:space="preserve">    1</w:t>
      </w:r>
      <w:r>
        <w:rPr>
          <w:rFonts w:hint="eastAsia" w:ascii="仿宋" w:hAnsi="仿宋" w:eastAsia="仿宋" w:cs="仿宋"/>
          <w:sz w:val="28"/>
          <w:szCs w:val="28"/>
          <w:highlight w:val="none"/>
          <w:lang w:val="en-US" w:eastAsia="zh-CN"/>
        </w:rPr>
        <w:t>3</w:t>
      </w:r>
      <w:r>
        <w:rPr>
          <w:rFonts w:hint="eastAsia" w:ascii="仿宋" w:hAnsi="仿宋" w:eastAsia="仿宋" w:cs="仿宋"/>
          <w:sz w:val="28"/>
          <w:szCs w:val="28"/>
          <w:highlight w:val="none"/>
        </w:rPr>
        <w:t>.</w:t>
      </w:r>
      <w:r>
        <w:rPr>
          <w:rFonts w:hint="eastAsia" w:ascii="仿宋" w:hAnsi="仿宋" w:eastAsia="仿宋" w:cs="仿宋"/>
          <w:sz w:val="28"/>
          <w:szCs w:val="28"/>
          <w:highlight w:val="none"/>
          <w:lang w:val="en-US" w:eastAsia="zh-CN"/>
        </w:rPr>
        <w:t>2</w:t>
      </w:r>
      <w:r>
        <w:rPr>
          <w:rFonts w:hint="eastAsia" w:ascii="仿宋" w:hAnsi="仿宋" w:eastAsia="仿宋" w:cs="仿宋"/>
          <w:sz w:val="28"/>
          <w:szCs w:val="28"/>
          <w:highlight w:val="none"/>
        </w:rPr>
        <w:t>、产品错发到货地点或接货人的，由此造成的损失由乙方承担。乙方未经甲方同意，单方面改变运输路线和运输工具的，承担由此造成的损失和增加的费用。</w:t>
      </w:r>
    </w:p>
    <w:p>
      <w:pPr>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1</w:t>
      </w:r>
      <w:r>
        <w:rPr>
          <w:rFonts w:hint="eastAsia" w:ascii="仿宋" w:hAnsi="仿宋" w:eastAsia="仿宋" w:cs="仿宋"/>
          <w:sz w:val="28"/>
          <w:szCs w:val="28"/>
          <w:highlight w:val="none"/>
          <w:lang w:val="en-US" w:eastAsia="zh-CN"/>
        </w:rPr>
        <w:t>3</w:t>
      </w:r>
      <w:r>
        <w:rPr>
          <w:rFonts w:hint="eastAsia" w:ascii="仿宋" w:hAnsi="仿宋" w:eastAsia="仿宋" w:cs="仿宋"/>
          <w:sz w:val="28"/>
          <w:szCs w:val="28"/>
          <w:highlight w:val="none"/>
        </w:rPr>
        <w:t>.</w:t>
      </w:r>
      <w:r>
        <w:rPr>
          <w:rFonts w:hint="eastAsia" w:ascii="仿宋" w:hAnsi="仿宋" w:eastAsia="仿宋" w:cs="仿宋"/>
          <w:sz w:val="28"/>
          <w:szCs w:val="28"/>
          <w:highlight w:val="none"/>
          <w:lang w:val="en-US" w:eastAsia="zh-CN"/>
        </w:rPr>
        <w:t>3</w:t>
      </w:r>
      <w:r>
        <w:rPr>
          <w:rFonts w:hint="eastAsia" w:ascii="仿宋" w:hAnsi="仿宋" w:eastAsia="仿宋" w:cs="仿宋"/>
          <w:sz w:val="28"/>
          <w:szCs w:val="28"/>
          <w:highlight w:val="none"/>
        </w:rPr>
        <w:t>、若因甲方自身原因造成计划错误、或者因甲方工程变更等导致的计划错误，由此产生的的计划错误责任由甲方负责。</w:t>
      </w:r>
    </w:p>
    <w:p>
      <w:pPr>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1</w:t>
      </w:r>
      <w:r>
        <w:rPr>
          <w:rFonts w:hint="eastAsia" w:ascii="仿宋" w:hAnsi="仿宋" w:eastAsia="仿宋" w:cs="仿宋"/>
          <w:sz w:val="28"/>
          <w:szCs w:val="28"/>
          <w:highlight w:val="none"/>
          <w:lang w:val="en-US" w:eastAsia="zh-CN"/>
        </w:rPr>
        <w:t>3</w:t>
      </w:r>
      <w:r>
        <w:rPr>
          <w:rFonts w:hint="eastAsia" w:ascii="仿宋" w:hAnsi="仿宋" w:eastAsia="仿宋" w:cs="仿宋"/>
          <w:sz w:val="28"/>
          <w:szCs w:val="28"/>
          <w:highlight w:val="none"/>
        </w:rPr>
        <w:t>.</w:t>
      </w:r>
      <w:r>
        <w:rPr>
          <w:rFonts w:hint="eastAsia" w:ascii="仿宋" w:hAnsi="仿宋" w:eastAsia="仿宋" w:cs="仿宋"/>
          <w:sz w:val="28"/>
          <w:szCs w:val="28"/>
          <w:highlight w:val="none"/>
          <w:lang w:val="en-US" w:eastAsia="zh-CN"/>
        </w:rPr>
        <w:t>4</w:t>
      </w:r>
      <w:r>
        <w:rPr>
          <w:rFonts w:hint="eastAsia" w:ascii="仿宋" w:hAnsi="仿宋" w:eastAsia="仿宋" w:cs="仿宋"/>
          <w:sz w:val="28"/>
          <w:szCs w:val="28"/>
          <w:highlight w:val="none"/>
        </w:rPr>
        <w:t>、甲方有权对乙方质量、运输、供应及售后服务提出异议并进行监督检查，督促乙方认真履行合同义务，组织供应，保障施工需要。</w:t>
      </w:r>
    </w:p>
    <w:p>
      <w:pPr>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1</w:t>
      </w:r>
      <w:r>
        <w:rPr>
          <w:rFonts w:hint="eastAsia" w:ascii="仿宋" w:hAnsi="仿宋" w:eastAsia="仿宋" w:cs="仿宋"/>
          <w:sz w:val="28"/>
          <w:szCs w:val="28"/>
          <w:highlight w:val="none"/>
          <w:lang w:val="en-US" w:eastAsia="zh-CN"/>
        </w:rPr>
        <w:t>3</w:t>
      </w:r>
      <w:r>
        <w:rPr>
          <w:rFonts w:hint="eastAsia" w:ascii="仿宋" w:hAnsi="仿宋" w:eastAsia="仿宋" w:cs="仿宋"/>
          <w:sz w:val="28"/>
          <w:szCs w:val="28"/>
          <w:highlight w:val="none"/>
        </w:rPr>
        <w:t>.</w:t>
      </w:r>
      <w:r>
        <w:rPr>
          <w:rFonts w:hint="eastAsia" w:ascii="仿宋" w:hAnsi="仿宋" w:eastAsia="仿宋" w:cs="仿宋"/>
          <w:sz w:val="28"/>
          <w:szCs w:val="28"/>
          <w:highlight w:val="none"/>
          <w:lang w:val="en-US" w:eastAsia="zh-CN"/>
        </w:rPr>
        <w:t>5</w:t>
      </w:r>
      <w:r>
        <w:rPr>
          <w:rFonts w:hint="eastAsia" w:ascii="仿宋" w:hAnsi="仿宋" w:eastAsia="仿宋" w:cs="仿宋"/>
          <w:sz w:val="28"/>
          <w:szCs w:val="28"/>
          <w:highlight w:val="none"/>
        </w:rPr>
        <w:t>、甲方未按本合同</w:t>
      </w:r>
      <w:r>
        <w:rPr>
          <w:rFonts w:hint="eastAsia" w:ascii="仿宋" w:hAnsi="仿宋" w:eastAsia="仿宋" w:cs="仿宋"/>
          <w:sz w:val="28"/>
          <w:szCs w:val="28"/>
          <w:highlight w:val="none"/>
          <w:u w:val="single"/>
        </w:rPr>
        <w:t>第1</w:t>
      </w:r>
      <w:r>
        <w:rPr>
          <w:rFonts w:hint="eastAsia" w:ascii="仿宋" w:hAnsi="仿宋" w:eastAsia="仿宋" w:cs="仿宋"/>
          <w:sz w:val="28"/>
          <w:szCs w:val="28"/>
          <w:highlight w:val="none"/>
          <w:u w:val="single"/>
          <w:lang w:val="en-US" w:eastAsia="zh-CN"/>
        </w:rPr>
        <w:t>1</w:t>
      </w:r>
      <w:r>
        <w:rPr>
          <w:rFonts w:hint="eastAsia" w:ascii="仿宋" w:hAnsi="仿宋" w:eastAsia="仿宋" w:cs="仿宋"/>
          <w:sz w:val="28"/>
          <w:szCs w:val="28"/>
          <w:highlight w:val="none"/>
          <w:u w:val="single"/>
        </w:rPr>
        <w:t>.2项</w:t>
      </w:r>
      <w:r>
        <w:rPr>
          <w:rFonts w:hint="eastAsia" w:ascii="仿宋" w:hAnsi="仿宋" w:eastAsia="仿宋" w:cs="仿宋"/>
          <w:sz w:val="28"/>
          <w:szCs w:val="28"/>
          <w:highlight w:val="none"/>
        </w:rPr>
        <w:t>向乙方支付款项，乙方有权停止货物供应并及时依法向甲方催收应收账款。</w:t>
      </w:r>
    </w:p>
    <w:p>
      <w:pPr>
        <w:spacing w:line="360" w:lineRule="auto"/>
        <w:ind w:firstLine="560" w:firstLineChars="200"/>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13.6、其余按《中华人民共和国民法典》处理。</w:t>
      </w:r>
    </w:p>
    <w:p>
      <w:pPr>
        <w:spacing w:line="360" w:lineRule="auto"/>
        <w:rPr>
          <w:rFonts w:hint="eastAsia" w:ascii="仿宋" w:hAnsi="仿宋" w:eastAsia="仿宋" w:cs="仿宋"/>
          <w:sz w:val="28"/>
          <w:szCs w:val="28"/>
          <w:highlight w:val="none"/>
          <w:lang w:eastAsia="zh-CN"/>
        </w:rPr>
      </w:pPr>
      <w:r>
        <w:rPr>
          <w:rFonts w:hint="eastAsia" w:ascii="仿宋" w:hAnsi="仿宋" w:eastAsia="仿宋" w:cs="仿宋"/>
          <w:b/>
          <w:sz w:val="28"/>
          <w:szCs w:val="28"/>
          <w:highlight w:val="none"/>
        </w:rPr>
        <w:t>1</w:t>
      </w:r>
      <w:r>
        <w:rPr>
          <w:rFonts w:hint="eastAsia" w:ascii="仿宋" w:hAnsi="仿宋" w:eastAsia="仿宋" w:cs="仿宋"/>
          <w:b/>
          <w:sz w:val="28"/>
          <w:szCs w:val="28"/>
          <w:highlight w:val="none"/>
          <w:lang w:val="en-US" w:eastAsia="zh-CN"/>
        </w:rPr>
        <w:t>4</w:t>
      </w:r>
      <w:r>
        <w:rPr>
          <w:rFonts w:hint="eastAsia" w:ascii="仿宋" w:hAnsi="仿宋" w:eastAsia="仿宋" w:cs="仿宋"/>
          <w:b/>
          <w:sz w:val="28"/>
          <w:szCs w:val="28"/>
          <w:highlight w:val="none"/>
        </w:rPr>
        <w:t xml:space="preserve"> 不可抗力</w:t>
      </w:r>
      <w:r>
        <w:rPr>
          <w:rFonts w:hint="eastAsia" w:ascii="仿宋" w:hAnsi="仿宋" w:eastAsia="仿宋" w:cs="仿宋"/>
          <w:b/>
          <w:sz w:val="28"/>
          <w:szCs w:val="28"/>
          <w:highlight w:val="none"/>
          <w:lang w:eastAsia="zh-CN"/>
        </w:rPr>
        <w:t>。</w:t>
      </w:r>
    </w:p>
    <w:p>
      <w:pPr>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14.1、</w:t>
      </w:r>
      <w:r>
        <w:rPr>
          <w:rFonts w:hint="eastAsia" w:ascii="仿宋" w:hAnsi="仿宋" w:eastAsia="仿宋" w:cs="仿宋"/>
          <w:sz w:val="28"/>
          <w:szCs w:val="28"/>
          <w:highlight w:val="none"/>
          <w:lang w:eastAsia="zh-CN"/>
        </w:rPr>
        <w:t>本条款所定义不可抗力是指不能预见、不能避免、不能克服的客观情况，</w:t>
      </w:r>
      <w:r>
        <w:rPr>
          <w:rFonts w:hint="eastAsia" w:ascii="仿宋" w:hAnsi="仿宋" w:eastAsia="仿宋" w:cs="仿宋"/>
          <w:sz w:val="28"/>
          <w:szCs w:val="28"/>
          <w:highlight w:val="none"/>
        </w:rPr>
        <w:t>包括战争、火灾、水灾、地震</w:t>
      </w:r>
      <w:r>
        <w:rPr>
          <w:rFonts w:hint="eastAsia" w:ascii="仿宋" w:hAnsi="仿宋" w:eastAsia="仿宋" w:cs="仿宋"/>
          <w:sz w:val="28"/>
          <w:szCs w:val="28"/>
          <w:highlight w:val="none"/>
          <w:lang w:eastAsia="zh-CN"/>
        </w:rPr>
        <w:t>等</w:t>
      </w:r>
      <w:r>
        <w:rPr>
          <w:rFonts w:hint="eastAsia" w:ascii="仿宋" w:hAnsi="仿宋" w:eastAsia="仿宋" w:cs="仿宋"/>
          <w:sz w:val="28"/>
          <w:szCs w:val="28"/>
          <w:highlight w:val="none"/>
        </w:rPr>
        <w:t>及法律规定的其它</w:t>
      </w:r>
      <w:r>
        <w:rPr>
          <w:rFonts w:hint="eastAsia" w:ascii="仿宋" w:hAnsi="仿宋" w:eastAsia="仿宋" w:cs="仿宋"/>
          <w:sz w:val="28"/>
          <w:szCs w:val="28"/>
          <w:highlight w:val="none"/>
          <w:lang w:eastAsia="zh-CN"/>
        </w:rPr>
        <w:t>认定</w:t>
      </w:r>
      <w:r>
        <w:rPr>
          <w:rFonts w:hint="eastAsia" w:ascii="仿宋" w:hAnsi="仿宋" w:eastAsia="仿宋" w:cs="仿宋"/>
          <w:sz w:val="28"/>
          <w:szCs w:val="28"/>
          <w:highlight w:val="none"/>
        </w:rPr>
        <w:t>情况。因不可抗力而延迟履约的，延迟时间可以顺延，从不可抗力因素排除之日起，计算</w:t>
      </w:r>
      <w:r>
        <w:rPr>
          <w:rFonts w:hint="eastAsia" w:ascii="仿宋" w:hAnsi="仿宋" w:eastAsia="仿宋" w:cs="仿宋"/>
          <w:sz w:val="28"/>
          <w:szCs w:val="28"/>
          <w:highlight w:val="none"/>
          <w:lang w:eastAsia="zh-CN"/>
        </w:rPr>
        <w:t>乙方</w:t>
      </w:r>
      <w:r>
        <w:rPr>
          <w:rFonts w:hint="eastAsia" w:ascii="仿宋" w:hAnsi="仿宋" w:eastAsia="仿宋" w:cs="仿宋"/>
          <w:sz w:val="28"/>
          <w:szCs w:val="28"/>
          <w:highlight w:val="none"/>
        </w:rPr>
        <w:t>履行合同的期限。</w:t>
      </w:r>
      <w:r>
        <w:rPr>
          <w:rFonts w:hint="eastAsia" w:ascii="仿宋" w:hAnsi="仿宋" w:eastAsia="仿宋" w:cs="仿宋"/>
          <w:sz w:val="28"/>
          <w:szCs w:val="28"/>
          <w:highlight w:val="none"/>
          <w:lang w:eastAsia="zh-CN"/>
        </w:rPr>
        <w:t>根据《</w:t>
      </w:r>
      <w:r>
        <w:rPr>
          <w:rFonts w:hint="eastAsia" w:ascii="仿宋" w:hAnsi="仿宋" w:eastAsia="仿宋" w:cs="仿宋"/>
          <w:sz w:val="28"/>
          <w:szCs w:val="28"/>
          <w:highlight w:val="none"/>
          <w:lang w:val="en-US" w:eastAsia="zh-CN"/>
        </w:rPr>
        <w:t>中华人民共和国</w:t>
      </w:r>
      <w:r>
        <w:rPr>
          <w:rFonts w:hint="eastAsia" w:ascii="仿宋" w:hAnsi="仿宋" w:eastAsia="仿宋" w:cs="仿宋"/>
          <w:sz w:val="28"/>
          <w:szCs w:val="28"/>
          <w:highlight w:val="none"/>
          <w:lang w:eastAsia="zh-CN"/>
        </w:rPr>
        <w:t>民法典》现行规定，对于经营状况严重恶化、发货安排不周、税收政策的调整等，无论严重程度如何，均不理解为不可抗力。</w:t>
      </w:r>
    </w:p>
    <w:p>
      <w:pPr>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14.2、</w:t>
      </w:r>
      <w:r>
        <w:rPr>
          <w:rFonts w:hint="eastAsia" w:ascii="仿宋" w:hAnsi="仿宋" w:eastAsia="仿宋" w:cs="仿宋"/>
          <w:sz w:val="28"/>
          <w:szCs w:val="28"/>
          <w:highlight w:val="none"/>
        </w:rPr>
        <w:t>如果不可抗力事件发生，</w:t>
      </w:r>
      <w:r>
        <w:rPr>
          <w:rFonts w:hint="eastAsia" w:ascii="仿宋" w:hAnsi="仿宋" w:eastAsia="仿宋" w:cs="仿宋"/>
          <w:sz w:val="28"/>
          <w:szCs w:val="28"/>
          <w:highlight w:val="none"/>
          <w:lang w:val="en-US" w:eastAsia="zh-CN"/>
        </w:rPr>
        <w:t>乙</w:t>
      </w:r>
      <w:r>
        <w:rPr>
          <w:rFonts w:hint="eastAsia" w:ascii="仿宋" w:hAnsi="仿宋" w:eastAsia="仿宋" w:cs="仿宋"/>
          <w:sz w:val="28"/>
          <w:szCs w:val="28"/>
          <w:highlight w:val="none"/>
        </w:rPr>
        <w:t>方应及时以书面形式报告</w:t>
      </w:r>
      <w:r>
        <w:rPr>
          <w:rFonts w:hint="eastAsia" w:ascii="仿宋" w:hAnsi="仿宋" w:eastAsia="仿宋" w:cs="仿宋"/>
          <w:sz w:val="28"/>
          <w:szCs w:val="28"/>
          <w:highlight w:val="none"/>
          <w:lang w:val="en-US" w:eastAsia="zh-CN"/>
        </w:rPr>
        <w:t>甲</w:t>
      </w:r>
      <w:r>
        <w:rPr>
          <w:rFonts w:hint="eastAsia" w:ascii="仿宋" w:hAnsi="仿宋" w:eastAsia="仿宋" w:cs="仿宋"/>
          <w:sz w:val="28"/>
          <w:szCs w:val="28"/>
          <w:highlight w:val="none"/>
        </w:rPr>
        <w:t>方真实情况和原因，经有关</w:t>
      </w:r>
      <w:r>
        <w:rPr>
          <w:rFonts w:hint="eastAsia" w:ascii="仿宋" w:hAnsi="仿宋" w:eastAsia="仿宋" w:cs="仿宋"/>
          <w:sz w:val="28"/>
          <w:szCs w:val="28"/>
          <w:highlight w:val="none"/>
          <w:lang w:eastAsia="zh-CN"/>
        </w:rPr>
        <w:t>机构证明</w:t>
      </w:r>
      <w:r>
        <w:rPr>
          <w:rFonts w:hint="eastAsia" w:ascii="仿宋" w:hAnsi="仿宋" w:eastAsia="仿宋" w:cs="仿宋"/>
          <w:sz w:val="28"/>
          <w:szCs w:val="28"/>
          <w:highlight w:val="none"/>
        </w:rPr>
        <w:t>属实，并得到</w:t>
      </w:r>
      <w:r>
        <w:rPr>
          <w:rFonts w:hint="eastAsia" w:ascii="仿宋" w:hAnsi="仿宋" w:eastAsia="仿宋" w:cs="仿宋"/>
          <w:sz w:val="28"/>
          <w:szCs w:val="28"/>
          <w:highlight w:val="none"/>
          <w:lang w:val="en-US" w:eastAsia="zh-CN"/>
        </w:rPr>
        <w:t>甲</w:t>
      </w:r>
      <w:r>
        <w:rPr>
          <w:rFonts w:hint="eastAsia" w:ascii="仿宋" w:hAnsi="仿宋" w:eastAsia="仿宋" w:cs="仿宋"/>
          <w:sz w:val="28"/>
          <w:szCs w:val="28"/>
          <w:highlight w:val="none"/>
        </w:rPr>
        <w:t>方书面同意，否则不能免除</w:t>
      </w:r>
      <w:r>
        <w:rPr>
          <w:rFonts w:hint="eastAsia" w:ascii="仿宋" w:hAnsi="仿宋" w:eastAsia="仿宋" w:cs="仿宋"/>
          <w:sz w:val="28"/>
          <w:szCs w:val="28"/>
          <w:highlight w:val="none"/>
          <w:lang w:val="en-US" w:eastAsia="zh-CN"/>
        </w:rPr>
        <w:t>乙</w:t>
      </w:r>
      <w:r>
        <w:rPr>
          <w:rFonts w:hint="eastAsia" w:ascii="仿宋" w:hAnsi="仿宋" w:eastAsia="仿宋" w:cs="仿宋"/>
          <w:sz w:val="28"/>
          <w:szCs w:val="28"/>
          <w:highlight w:val="none"/>
        </w:rPr>
        <w:t>方继续履行合同义务。</w:t>
      </w:r>
    </w:p>
    <w:p>
      <w:pPr>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14.3、</w:t>
      </w:r>
      <w:r>
        <w:rPr>
          <w:rFonts w:hint="eastAsia" w:ascii="仿宋" w:hAnsi="仿宋" w:eastAsia="仿宋" w:cs="仿宋"/>
          <w:sz w:val="28"/>
          <w:szCs w:val="28"/>
          <w:highlight w:val="none"/>
        </w:rPr>
        <w:t>由于不可抗力的影响致使本合同不能履行时，一方有权通知另一方</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经双方协调一致</w:t>
      </w:r>
      <w:r>
        <w:rPr>
          <w:rFonts w:hint="eastAsia" w:ascii="仿宋" w:hAnsi="仿宋" w:eastAsia="仿宋" w:cs="仿宋"/>
          <w:sz w:val="28"/>
          <w:szCs w:val="28"/>
          <w:highlight w:val="none"/>
        </w:rPr>
        <w:t>解除合同，双方均不承担违约责任。</w:t>
      </w:r>
    </w:p>
    <w:p>
      <w:pPr>
        <w:spacing w:line="360" w:lineRule="auto"/>
        <w:rPr>
          <w:rFonts w:hint="eastAsia" w:ascii="仿宋" w:hAnsi="仿宋" w:eastAsia="仿宋" w:cs="仿宋"/>
          <w:sz w:val="28"/>
          <w:szCs w:val="28"/>
          <w:highlight w:val="none"/>
          <w:lang w:eastAsia="zh-CN"/>
        </w:rPr>
      </w:pPr>
      <w:r>
        <w:rPr>
          <w:rFonts w:hint="eastAsia" w:ascii="仿宋" w:hAnsi="仿宋" w:eastAsia="仿宋" w:cs="仿宋"/>
          <w:b/>
          <w:bCs/>
          <w:sz w:val="28"/>
          <w:szCs w:val="28"/>
          <w:highlight w:val="none"/>
        </w:rPr>
        <w:t>1</w:t>
      </w:r>
      <w:r>
        <w:rPr>
          <w:rFonts w:hint="eastAsia" w:ascii="仿宋" w:hAnsi="仿宋" w:eastAsia="仿宋" w:cs="仿宋"/>
          <w:b/>
          <w:bCs/>
          <w:sz w:val="28"/>
          <w:szCs w:val="28"/>
          <w:highlight w:val="none"/>
          <w:lang w:val="en-US" w:eastAsia="zh-CN"/>
        </w:rPr>
        <w:t>5</w:t>
      </w:r>
      <w:r>
        <w:rPr>
          <w:rFonts w:hint="eastAsia" w:ascii="仿宋" w:hAnsi="仿宋" w:eastAsia="仿宋" w:cs="仿宋"/>
          <w:b/>
          <w:bCs/>
          <w:sz w:val="28"/>
          <w:szCs w:val="28"/>
          <w:highlight w:val="none"/>
        </w:rPr>
        <w:t xml:space="preserve"> 合同转让</w:t>
      </w:r>
      <w:r>
        <w:rPr>
          <w:rFonts w:hint="eastAsia" w:ascii="仿宋" w:hAnsi="仿宋" w:eastAsia="仿宋" w:cs="仿宋"/>
          <w:b/>
          <w:bCs/>
          <w:sz w:val="28"/>
          <w:szCs w:val="28"/>
          <w:highlight w:val="none"/>
          <w:lang w:eastAsia="zh-CN"/>
        </w:rPr>
        <w:t>。</w:t>
      </w:r>
    </w:p>
    <w:p>
      <w:pPr>
        <w:pStyle w:val="12"/>
        <w:spacing w:line="360" w:lineRule="auto"/>
        <w:ind w:firstLine="480"/>
        <w:rPr>
          <w:rFonts w:hint="eastAsia" w:ascii="仿宋" w:hAnsi="仿宋" w:eastAsia="仿宋" w:cs="仿宋"/>
          <w:sz w:val="28"/>
          <w:szCs w:val="28"/>
          <w:highlight w:val="none"/>
        </w:rPr>
      </w:pPr>
      <w:r>
        <w:rPr>
          <w:rFonts w:hint="eastAsia" w:ascii="仿宋" w:hAnsi="仿宋" w:eastAsia="仿宋" w:cs="仿宋"/>
          <w:sz w:val="28"/>
          <w:szCs w:val="28"/>
          <w:highlight w:val="none"/>
        </w:rPr>
        <w:t>1</w:t>
      </w:r>
      <w:r>
        <w:rPr>
          <w:rFonts w:hint="eastAsia" w:ascii="仿宋" w:hAnsi="仿宋" w:eastAsia="仿宋" w:cs="仿宋"/>
          <w:sz w:val="28"/>
          <w:szCs w:val="28"/>
          <w:highlight w:val="none"/>
          <w:lang w:val="en-US" w:eastAsia="zh-CN"/>
        </w:rPr>
        <w:t>5</w:t>
      </w:r>
      <w:r>
        <w:rPr>
          <w:rFonts w:hint="eastAsia" w:ascii="仿宋" w:hAnsi="仿宋" w:eastAsia="仿宋" w:cs="仿宋"/>
          <w:sz w:val="28"/>
          <w:szCs w:val="28"/>
          <w:highlight w:val="none"/>
        </w:rPr>
        <w:t>.1、乙方不能擅自转让合同及合同义务，否则甲方有权解除合同，由此造成的经济损失由乙方承担。</w:t>
      </w:r>
    </w:p>
    <w:p>
      <w:pPr>
        <w:pStyle w:val="12"/>
        <w:spacing w:line="360" w:lineRule="auto"/>
        <w:ind w:firstLine="480"/>
        <w:rPr>
          <w:rFonts w:hint="eastAsia" w:ascii="仿宋" w:hAnsi="仿宋" w:eastAsia="仿宋" w:cs="仿宋"/>
          <w:sz w:val="28"/>
          <w:szCs w:val="28"/>
          <w:highlight w:val="none"/>
        </w:rPr>
      </w:pPr>
      <w:r>
        <w:rPr>
          <w:rFonts w:hint="eastAsia" w:ascii="仿宋" w:hAnsi="仿宋" w:eastAsia="仿宋" w:cs="仿宋"/>
          <w:sz w:val="28"/>
          <w:szCs w:val="28"/>
          <w:highlight w:val="none"/>
        </w:rPr>
        <w:t>1</w:t>
      </w:r>
      <w:r>
        <w:rPr>
          <w:rFonts w:hint="eastAsia" w:ascii="仿宋" w:hAnsi="仿宋" w:eastAsia="仿宋" w:cs="仿宋"/>
          <w:sz w:val="28"/>
          <w:szCs w:val="28"/>
          <w:highlight w:val="none"/>
          <w:lang w:val="en-US" w:eastAsia="zh-CN"/>
        </w:rPr>
        <w:t>5</w:t>
      </w:r>
      <w:r>
        <w:rPr>
          <w:rFonts w:hint="eastAsia" w:ascii="仿宋" w:hAnsi="仿宋" w:eastAsia="仿宋" w:cs="仿宋"/>
          <w:sz w:val="28"/>
          <w:szCs w:val="28"/>
          <w:highlight w:val="none"/>
        </w:rPr>
        <w:t>.2、本合同约定甲方与乙方所签定的合同产生的所有债权债务均不得转让。</w:t>
      </w:r>
    </w:p>
    <w:p>
      <w:pPr>
        <w:spacing w:line="360" w:lineRule="auto"/>
        <w:rPr>
          <w:rFonts w:hint="eastAsia" w:ascii="仿宋" w:hAnsi="仿宋" w:eastAsia="仿宋" w:cs="仿宋"/>
          <w:b/>
          <w:bCs/>
          <w:sz w:val="28"/>
          <w:szCs w:val="28"/>
          <w:highlight w:val="none"/>
          <w:lang w:eastAsia="zh-CN"/>
        </w:rPr>
      </w:pPr>
      <w:r>
        <w:rPr>
          <w:rFonts w:hint="eastAsia" w:ascii="仿宋" w:hAnsi="仿宋" w:eastAsia="仿宋" w:cs="仿宋"/>
          <w:b/>
          <w:bCs/>
          <w:sz w:val="28"/>
          <w:szCs w:val="28"/>
          <w:highlight w:val="none"/>
        </w:rPr>
        <w:t>1</w:t>
      </w:r>
      <w:r>
        <w:rPr>
          <w:rFonts w:hint="eastAsia" w:ascii="仿宋" w:hAnsi="仿宋" w:eastAsia="仿宋" w:cs="仿宋"/>
          <w:b/>
          <w:bCs/>
          <w:sz w:val="28"/>
          <w:szCs w:val="28"/>
          <w:highlight w:val="none"/>
          <w:lang w:val="en-US" w:eastAsia="zh-CN"/>
        </w:rPr>
        <w:t>6</w:t>
      </w:r>
      <w:r>
        <w:rPr>
          <w:rFonts w:hint="eastAsia" w:ascii="仿宋" w:hAnsi="仿宋" w:eastAsia="仿宋" w:cs="仿宋"/>
          <w:b/>
          <w:bCs/>
          <w:sz w:val="28"/>
          <w:szCs w:val="28"/>
          <w:highlight w:val="none"/>
        </w:rPr>
        <w:t xml:space="preserve"> 所有权转移</w:t>
      </w:r>
      <w:r>
        <w:rPr>
          <w:rFonts w:hint="eastAsia" w:ascii="仿宋" w:hAnsi="仿宋" w:eastAsia="仿宋" w:cs="仿宋"/>
          <w:b/>
          <w:bCs/>
          <w:sz w:val="28"/>
          <w:szCs w:val="28"/>
          <w:highlight w:val="none"/>
          <w:lang w:eastAsia="zh-CN"/>
        </w:rPr>
        <w:t>。</w:t>
      </w:r>
    </w:p>
    <w:p>
      <w:pPr>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乙方将货物送到甲方指定交货地点经签收后，物资所有权归甲方所有，但并不解除乙方对其物资质量应负的保证责任。</w:t>
      </w:r>
    </w:p>
    <w:p>
      <w:pPr>
        <w:spacing w:line="360" w:lineRule="auto"/>
        <w:rPr>
          <w:rFonts w:hint="eastAsia" w:ascii="仿宋" w:hAnsi="仿宋" w:eastAsia="仿宋" w:cs="仿宋"/>
          <w:sz w:val="28"/>
          <w:szCs w:val="28"/>
          <w:highlight w:val="none"/>
          <w:lang w:eastAsia="zh-CN"/>
        </w:rPr>
      </w:pPr>
      <w:r>
        <w:rPr>
          <w:rFonts w:hint="eastAsia" w:ascii="仿宋" w:hAnsi="仿宋" w:eastAsia="仿宋" w:cs="仿宋"/>
          <w:b/>
          <w:sz w:val="28"/>
          <w:szCs w:val="28"/>
          <w:highlight w:val="none"/>
        </w:rPr>
        <w:t>1</w:t>
      </w:r>
      <w:r>
        <w:rPr>
          <w:rFonts w:hint="eastAsia" w:ascii="仿宋" w:hAnsi="仿宋" w:eastAsia="仿宋" w:cs="仿宋"/>
          <w:b/>
          <w:sz w:val="28"/>
          <w:szCs w:val="28"/>
          <w:highlight w:val="none"/>
          <w:lang w:val="en-US" w:eastAsia="zh-CN"/>
        </w:rPr>
        <w:t>7</w:t>
      </w:r>
      <w:r>
        <w:rPr>
          <w:rFonts w:hint="eastAsia" w:ascii="仿宋" w:hAnsi="仿宋" w:eastAsia="仿宋" w:cs="仿宋"/>
          <w:b/>
          <w:sz w:val="28"/>
          <w:szCs w:val="28"/>
          <w:highlight w:val="none"/>
        </w:rPr>
        <w:t xml:space="preserve"> 解决合同纠纷的方式</w:t>
      </w:r>
      <w:r>
        <w:rPr>
          <w:rFonts w:hint="eastAsia" w:ascii="仿宋" w:hAnsi="仿宋" w:eastAsia="仿宋" w:cs="仿宋"/>
          <w:b/>
          <w:sz w:val="28"/>
          <w:szCs w:val="28"/>
          <w:highlight w:val="none"/>
          <w:lang w:eastAsia="zh-CN"/>
        </w:rPr>
        <w:t>。</w:t>
      </w:r>
    </w:p>
    <w:p>
      <w:pPr>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双方友好协商解决，协商不成双方可向</w:t>
      </w:r>
      <w:r>
        <w:rPr>
          <w:rFonts w:hint="eastAsia" w:ascii="仿宋" w:hAnsi="仿宋" w:eastAsia="仿宋" w:cs="仿宋"/>
          <w:b/>
          <w:bCs/>
          <w:sz w:val="28"/>
          <w:szCs w:val="28"/>
          <w:highlight w:val="none"/>
          <w:u w:val="single"/>
        </w:rPr>
        <w:t>合同签订地人民法院</w:t>
      </w:r>
      <w:r>
        <w:rPr>
          <w:rFonts w:hint="eastAsia" w:ascii="仿宋" w:hAnsi="仿宋" w:eastAsia="仿宋" w:cs="仿宋"/>
          <w:sz w:val="28"/>
          <w:szCs w:val="28"/>
          <w:highlight w:val="none"/>
        </w:rPr>
        <w:t>提起诉讼。</w:t>
      </w:r>
    </w:p>
    <w:p>
      <w:pPr>
        <w:spacing w:line="360" w:lineRule="auto"/>
        <w:rPr>
          <w:rFonts w:hint="eastAsia" w:ascii="仿宋" w:hAnsi="仿宋" w:eastAsia="仿宋" w:cs="仿宋"/>
          <w:b/>
          <w:sz w:val="28"/>
          <w:szCs w:val="28"/>
          <w:highlight w:val="none"/>
          <w:lang w:eastAsia="zh-CN"/>
        </w:rPr>
      </w:pPr>
      <w:r>
        <w:rPr>
          <w:rFonts w:hint="eastAsia" w:ascii="仿宋" w:hAnsi="仿宋" w:eastAsia="仿宋" w:cs="仿宋"/>
          <w:b/>
          <w:sz w:val="28"/>
          <w:szCs w:val="28"/>
          <w:highlight w:val="none"/>
          <w:lang w:val="en-US" w:eastAsia="zh-CN"/>
        </w:rPr>
        <w:t>28</w:t>
      </w:r>
      <w:r>
        <w:rPr>
          <w:rFonts w:hint="eastAsia" w:ascii="仿宋" w:hAnsi="仿宋" w:eastAsia="仿宋" w:cs="仿宋"/>
          <w:b/>
          <w:sz w:val="28"/>
          <w:szCs w:val="28"/>
          <w:highlight w:val="none"/>
        </w:rPr>
        <w:t xml:space="preserve"> 其它约定事项</w:t>
      </w:r>
      <w:r>
        <w:rPr>
          <w:rFonts w:hint="eastAsia" w:ascii="仿宋" w:hAnsi="仿宋" w:eastAsia="仿宋" w:cs="仿宋"/>
          <w:b/>
          <w:sz w:val="28"/>
          <w:szCs w:val="28"/>
          <w:highlight w:val="none"/>
          <w:lang w:eastAsia="zh-CN"/>
        </w:rPr>
        <w:t>。</w:t>
      </w:r>
    </w:p>
    <w:p>
      <w:pPr>
        <w:spacing w:line="360" w:lineRule="auto"/>
        <w:ind w:firstLine="560"/>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18</w:t>
      </w:r>
      <w:r>
        <w:rPr>
          <w:rFonts w:hint="eastAsia" w:ascii="仿宋" w:hAnsi="仿宋" w:eastAsia="仿宋" w:cs="仿宋"/>
          <w:sz w:val="28"/>
          <w:szCs w:val="28"/>
          <w:highlight w:val="none"/>
        </w:rPr>
        <w:t>.1、甲方需提供</w:t>
      </w:r>
      <w:r>
        <w:rPr>
          <w:rFonts w:hint="eastAsia" w:ascii="仿宋" w:hAnsi="仿宋" w:eastAsia="仿宋" w:cs="仿宋"/>
          <w:sz w:val="28"/>
          <w:szCs w:val="28"/>
          <w:highlight w:val="none"/>
          <w:u w:val="single"/>
        </w:rPr>
        <w:t>法人证件、代理人法人授权文件</w:t>
      </w:r>
      <w:r>
        <w:rPr>
          <w:rFonts w:hint="eastAsia" w:ascii="仿宋" w:hAnsi="仿宋" w:eastAsia="仿宋" w:cs="仿宋"/>
          <w:sz w:val="28"/>
          <w:szCs w:val="28"/>
          <w:highlight w:val="none"/>
        </w:rPr>
        <w:t>等资料。乙方需提供</w:t>
      </w:r>
      <w:r>
        <w:rPr>
          <w:rFonts w:hint="eastAsia" w:ascii="仿宋" w:hAnsi="仿宋" w:eastAsia="仿宋" w:cs="仿宋"/>
          <w:sz w:val="28"/>
          <w:szCs w:val="28"/>
          <w:highlight w:val="none"/>
          <w:u w:val="single"/>
        </w:rPr>
        <w:t>法人证件、代理人法人授权文件</w:t>
      </w:r>
      <w:r>
        <w:rPr>
          <w:rFonts w:hint="eastAsia" w:ascii="仿宋" w:hAnsi="仿宋" w:eastAsia="仿宋" w:cs="仿宋"/>
          <w:sz w:val="28"/>
          <w:szCs w:val="28"/>
          <w:highlight w:val="none"/>
        </w:rPr>
        <w:t>等资料。</w:t>
      </w:r>
    </w:p>
    <w:p>
      <w:pPr>
        <w:spacing w:line="360" w:lineRule="auto"/>
        <w:ind w:firstLine="560"/>
        <w:rPr>
          <w:rFonts w:hint="eastAsia" w:ascii="仿宋" w:hAnsi="仿宋" w:eastAsia="仿宋" w:cs="仿宋"/>
          <w:sz w:val="28"/>
          <w:szCs w:val="28"/>
          <w:highlight w:val="none"/>
          <w:u w:val="none"/>
          <w:lang w:val="en-US" w:eastAsia="zh-CN"/>
        </w:rPr>
      </w:pPr>
      <w:r>
        <w:rPr>
          <w:rFonts w:hint="eastAsia" w:ascii="仿宋" w:hAnsi="仿宋" w:eastAsia="仿宋" w:cs="仿宋"/>
          <w:sz w:val="28"/>
          <w:szCs w:val="28"/>
          <w:highlight w:val="none"/>
          <w:lang w:val="en-US" w:eastAsia="zh-CN"/>
        </w:rPr>
        <w:t>18.2、本合同的主要附件有</w:t>
      </w:r>
      <w:r>
        <w:rPr>
          <w:rFonts w:hint="eastAsia" w:ascii="仿宋_GB2312" w:hAnsi="仿宋_GB2312" w:eastAsia="仿宋_GB2312" w:cs="仿宋_GB2312"/>
          <w:color w:val="auto"/>
          <w:sz w:val="28"/>
          <w:szCs w:val="28"/>
          <w:highlight w:val="none"/>
          <w:u w:val="single"/>
          <w:lang w:eastAsia="zh-CN"/>
        </w:rPr>
        <w:t>贵州地区钢材运输服务采购招标</w:t>
      </w:r>
      <w:r>
        <w:rPr>
          <w:rFonts w:hint="eastAsia" w:ascii="仿宋_GB2312" w:hAnsi="仿宋_GB2312" w:eastAsia="仿宋_GB2312" w:cs="仿宋_GB2312"/>
          <w:color w:val="auto"/>
          <w:sz w:val="28"/>
          <w:szCs w:val="28"/>
          <w:highlight w:val="none"/>
          <w:u w:val="single"/>
        </w:rPr>
        <w:t>文件</w:t>
      </w:r>
      <w:r>
        <w:rPr>
          <w:rFonts w:hint="eastAsia" w:ascii="仿宋_GB2312" w:hAnsi="仿宋_GB2312" w:eastAsia="仿宋_GB2312" w:cs="仿宋_GB2312"/>
          <w:color w:val="auto"/>
          <w:sz w:val="28"/>
          <w:szCs w:val="28"/>
          <w:highlight w:val="none"/>
          <w:u w:val="single"/>
          <w:lang w:eastAsia="zh-CN"/>
        </w:rPr>
        <w:t>、运输单位报价文件</w:t>
      </w:r>
      <w:r>
        <w:rPr>
          <w:rFonts w:hint="eastAsia" w:ascii="仿宋" w:hAnsi="仿宋" w:eastAsia="仿宋" w:cs="仿宋"/>
          <w:sz w:val="28"/>
          <w:szCs w:val="28"/>
          <w:highlight w:val="none"/>
          <w:u w:val="none"/>
          <w:lang w:val="en-US" w:eastAsia="zh-CN"/>
        </w:rPr>
        <w:t>。</w:t>
      </w:r>
    </w:p>
    <w:p>
      <w:pPr>
        <w:spacing w:line="360" w:lineRule="auto"/>
        <w:ind w:firstLine="560"/>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18</w:t>
      </w:r>
      <w:r>
        <w:rPr>
          <w:rFonts w:hint="eastAsia" w:ascii="仿宋" w:hAnsi="仿宋" w:eastAsia="仿宋" w:cs="仿宋"/>
          <w:sz w:val="28"/>
          <w:szCs w:val="28"/>
          <w:highlight w:val="none"/>
        </w:rPr>
        <w:t>.</w:t>
      </w:r>
      <w:r>
        <w:rPr>
          <w:rFonts w:hint="eastAsia" w:ascii="仿宋" w:hAnsi="仿宋" w:eastAsia="仿宋" w:cs="仿宋"/>
          <w:sz w:val="28"/>
          <w:szCs w:val="28"/>
          <w:highlight w:val="none"/>
          <w:lang w:val="en-US" w:eastAsia="zh-CN"/>
        </w:rPr>
        <w:t>3</w:t>
      </w:r>
      <w:r>
        <w:rPr>
          <w:rFonts w:hint="eastAsia" w:ascii="仿宋" w:hAnsi="仿宋" w:eastAsia="仿宋" w:cs="仿宋"/>
          <w:sz w:val="28"/>
          <w:szCs w:val="28"/>
          <w:highlight w:val="none"/>
        </w:rPr>
        <w:t>、合同有效期：</w:t>
      </w:r>
      <w:r>
        <w:rPr>
          <w:rFonts w:hint="eastAsia" w:ascii="仿宋" w:hAnsi="仿宋" w:eastAsia="仿宋" w:cs="仿宋"/>
          <w:b/>
          <w:bCs/>
          <w:sz w:val="28"/>
          <w:szCs w:val="28"/>
          <w:highlight w:val="none"/>
          <w:u w:val="single"/>
        </w:rPr>
        <w:t>自合同签</w:t>
      </w:r>
      <w:r>
        <w:rPr>
          <w:rFonts w:hint="eastAsia" w:ascii="仿宋" w:hAnsi="仿宋" w:eastAsia="仿宋" w:cs="仿宋"/>
          <w:b/>
          <w:bCs/>
          <w:sz w:val="28"/>
          <w:szCs w:val="28"/>
          <w:highlight w:val="none"/>
          <w:u w:val="single"/>
          <w:lang w:val="en-US" w:eastAsia="zh-CN"/>
        </w:rPr>
        <w:t>定</w:t>
      </w:r>
      <w:r>
        <w:rPr>
          <w:rFonts w:hint="eastAsia" w:ascii="仿宋" w:hAnsi="仿宋" w:eastAsia="仿宋" w:cs="仿宋"/>
          <w:b/>
          <w:bCs/>
          <w:sz w:val="28"/>
          <w:szCs w:val="28"/>
          <w:highlight w:val="none"/>
          <w:u w:val="single"/>
        </w:rPr>
        <w:t>之日</w:t>
      </w:r>
      <w:r>
        <w:rPr>
          <w:rFonts w:hint="eastAsia" w:ascii="仿宋" w:hAnsi="仿宋" w:eastAsia="仿宋" w:cs="仿宋"/>
          <w:sz w:val="28"/>
          <w:szCs w:val="28"/>
          <w:highlight w:val="none"/>
        </w:rPr>
        <w:t>起至</w:t>
      </w:r>
      <w:r>
        <w:rPr>
          <w:rFonts w:hint="eastAsia" w:ascii="仿宋" w:hAnsi="仿宋" w:eastAsia="仿宋" w:cs="仿宋"/>
          <w:b/>
          <w:bCs/>
          <w:sz w:val="28"/>
          <w:szCs w:val="28"/>
          <w:highlight w:val="none"/>
          <w:u w:val="single"/>
        </w:rPr>
        <w:t>甲、乙双方货物运输服务、款项两清并办理完合同决算自行解除</w:t>
      </w:r>
      <w:r>
        <w:rPr>
          <w:rFonts w:hint="eastAsia" w:ascii="仿宋" w:hAnsi="仿宋" w:eastAsia="仿宋" w:cs="仿宋"/>
          <w:b/>
          <w:bCs/>
          <w:sz w:val="28"/>
          <w:szCs w:val="28"/>
          <w:highlight w:val="none"/>
          <w:u w:val="none"/>
          <w:lang w:val="en-US" w:eastAsia="zh-CN"/>
        </w:rPr>
        <w:t>。</w:t>
      </w:r>
      <w:r>
        <w:rPr>
          <w:rFonts w:hint="eastAsia" w:ascii="仿宋" w:hAnsi="仿宋" w:eastAsia="仿宋" w:cs="仿宋"/>
          <w:sz w:val="28"/>
          <w:szCs w:val="28"/>
          <w:highlight w:val="none"/>
        </w:rPr>
        <w:t>合同执行期内，甲方和乙方均不得随意变更或解除合同。合同如有未尽事宜，经双方共同协商作出补充规定，补充规定与本合同具有同等效力。</w:t>
      </w:r>
    </w:p>
    <w:p>
      <w:pPr>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18</w:t>
      </w:r>
      <w:r>
        <w:rPr>
          <w:rFonts w:hint="eastAsia" w:ascii="仿宋" w:hAnsi="仿宋" w:eastAsia="仿宋" w:cs="仿宋"/>
          <w:sz w:val="28"/>
          <w:szCs w:val="28"/>
          <w:highlight w:val="none"/>
        </w:rPr>
        <w:t>.</w:t>
      </w:r>
      <w:r>
        <w:rPr>
          <w:rFonts w:hint="eastAsia" w:ascii="仿宋" w:hAnsi="仿宋" w:eastAsia="仿宋" w:cs="仿宋"/>
          <w:sz w:val="28"/>
          <w:szCs w:val="28"/>
          <w:highlight w:val="none"/>
          <w:lang w:val="en-US" w:eastAsia="zh-CN"/>
        </w:rPr>
        <w:t>4</w:t>
      </w:r>
      <w:r>
        <w:rPr>
          <w:rFonts w:hint="eastAsia" w:ascii="仿宋" w:hAnsi="仿宋" w:eastAsia="仿宋" w:cs="仿宋"/>
          <w:sz w:val="28"/>
          <w:szCs w:val="28"/>
          <w:highlight w:val="none"/>
        </w:rPr>
        <w:t>、本合同壹式肆份，甲方执贰份，乙方执贰份；经双方法定代表人或委托代表人签字盖章后生效。本合同的所有附件及随后修改文本，只有在加盖公章的情况下，方对其生效，并产生约束力。</w:t>
      </w:r>
    </w:p>
    <w:tbl>
      <w:tblPr>
        <w:tblStyle w:val="23"/>
        <w:tblpPr w:leftFromText="180" w:rightFromText="180" w:vertAnchor="text" w:tblpX="-96" w:tblpY="7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2"/>
        <w:gridCol w:w="3264"/>
        <w:gridCol w:w="1673"/>
        <w:gridCol w:w="3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926" w:type="dxa"/>
            <w:gridSpan w:val="2"/>
            <w:tcBorders>
              <w:top w:val="single" w:color="auto" w:sz="12" w:space="0"/>
              <w:left w:val="single" w:color="auto" w:sz="12" w:space="0"/>
              <w:right w:val="single" w:color="auto" w:sz="12" w:space="0"/>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sz w:val="28"/>
                <w:szCs w:val="28"/>
                <w:highlight w:val="none"/>
              </w:rPr>
              <w:t>甲方(采购方)</w:t>
            </w:r>
            <w:r>
              <w:rPr>
                <w:rFonts w:hint="eastAsia" w:ascii="仿宋" w:hAnsi="仿宋" w:eastAsia="仿宋" w:cs="仿宋"/>
                <w:b w:val="0"/>
                <w:bCs w:val="0"/>
                <w:sz w:val="28"/>
                <w:szCs w:val="28"/>
                <w:highlight w:val="none"/>
                <w:lang w:val="en-US" w:eastAsia="zh-CN"/>
              </w:rPr>
              <w:t>签字盖章</w:t>
            </w:r>
          </w:p>
        </w:tc>
        <w:tc>
          <w:tcPr>
            <w:tcW w:w="4926" w:type="dxa"/>
            <w:gridSpan w:val="2"/>
            <w:tcBorders>
              <w:top w:val="single" w:color="auto" w:sz="12" w:space="0"/>
              <w:left w:val="single" w:color="auto" w:sz="12" w:space="0"/>
              <w:right w:val="single" w:color="auto" w:sz="12" w:space="0"/>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sz w:val="28"/>
                <w:szCs w:val="28"/>
                <w:highlight w:val="none"/>
              </w:rPr>
              <w:t>乙方(供应方)</w:t>
            </w:r>
            <w:r>
              <w:rPr>
                <w:rFonts w:hint="eastAsia" w:ascii="仿宋" w:hAnsi="仿宋" w:eastAsia="仿宋" w:cs="仿宋"/>
                <w:b w:val="0"/>
                <w:bCs w:val="0"/>
                <w:sz w:val="28"/>
                <w:szCs w:val="28"/>
                <w:highlight w:val="none"/>
                <w:lang w:val="en-US" w:eastAsia="zh-CN"/>
              </w:rPr>
              <w:t>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1662" w:type="dxa"/>
            <w:tcBorders>
              <w:left w:val="single" w:color="auto" w:sz="12"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单位名称</w:t>
            </w:r>
          </w:p>
        </w:tc>
        <w:tc>
          <w:tcPr>
            <w:tcW w:w="3264" w:type="dxa"/>
            <w:tcBorders>
              <w:right w:val="single" w:color="auto" w:sz="12"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left"/>
              <w:textAlignment w:val="auto"/>
              <w:outlineLvl w:val="9"/>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贵州交投商贸物流有限公司</w:t>
            </w:r>
          </w:p>
        </w:tc>
        <w:tc>
          <w:tcPr>
            <w:tcW w:w="1673" w:type="dxa"/>
            <w:tcBorders>
              <w:left w:val="single" w:color="auto" w:sz="12"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color w:val="auto"/>
                <w:sz w:val="28"/>
                <w:szCs w:val="28"/>
                <w:highlight w:val="none"/>
                <w:vertAlign w:val="baseline"/>
                <w:lang w:val="en-US" w:eastAsia="zh-CN"/>
              </w:rPr>
              <w:t>单位名称</w:t>
            </w:r>
          </w:p>
        </w:tc>
        <w:tc>
          <w:tcPr>
            <w:tcW w:w="3253" w:type="dxa"/>
            <w:tcBorders>
              <w:right w:val="single" w:color="auto" w:sz="12"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left"/>
              <w:textAlignment w:val="auto"/>
              <w:outlineLvl w:val="9"/>
              <w:rPr>
                <w:rFonts w:hint="eastAsia" w:ascii="仿宋" w:hAnsi="仿宋" w:eastAsia="仿宋" w:cs="仿宋"/>
                <w:b w:val="0"/>
                <w:bCs w:val="0"/>
                <w:sz w:val="28"/>
                <w:szCs w:val="28"/>
                <w:highlight w:val="none"/>
                <w:lang w:val="en-US" w:eastAsia="zh-CN"/>
              </w:rPr>
            </w:pPr>
            <w:r>
              <w:rPr>
                <w:rFonts w:hint="eastAsia" w:ascii="仿宋" w:hAnsi="仿宋" w:eastAsia="仿宋" w:cs="仿宋"/>
                <w:sz w:val="24"/>
                <w:szCs w:val="24"/>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1662" w:type="dxa"/>
            <w:tcBorders>
              <w:left w:val="single" w:color="auto" w:sz="12"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sz w:val="28"/>
                <w:szCs w:val="28"/>
                <w:highlight w:val="none"/>
              </w:rPr>
              <w:t>法定代表</w:t>
            </w:r>
            <w:r>
              <w:rPr>
                <w:rFonts w:hint="eastAsia" w:ascii="仿宋" w:hAnsi="仿宋" w:eastAsia="仿宋" w:cs="仿宋"/>
                <w:b w:val="0"/>
                <w:bCs w:val="0"/>
                <w:sz w:val="28"/>
                <w:szCs w:val="28"/>
                <w:highlight w:val="none"/>
                <w:lang w:val="en-US" w:eastAsia="zh-CN"/>
              </w:rPr>
              <w:t>人(签字)</w:t>
            </w:r>
          </w:p>
        </w:tc>
        <w:tc>
          <w:tcPr>
            <w:tcW w:w="3264" w:type="dxa"/>
            <w:tcBorders>
              <w:right w:val="single" w:color="auto" w:sz="12"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eastAsia" w:ascii="仿宋" w:hAnsi="仿宋" w:eastAsia="仿宋" w:cs="仿宋"/>
                <w:b w:val="0"/>
                <w:bCs w:val="0"/>
                <w:color w:val="auto"/>
                <w:sz w:val="28"/>
                <w:szCs w:val="28"/>
                <w:highlight w:val="none"/>
                <w:vertAlign w:val="baseline"/>
                <w:lang w:val="en-US" w:eastAsia="zh-CN"/>
              </w:rPr>
            </w:pPr>
          </w:p>
        </w:tc>
        <w:tc>
          <w:tcPr>
            <w:tcW w:w="1673" w:type="dxa"/>
            <w:tcBorders>
              <w:left w:val="single" w:color="auto" w:sz="12"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rPr>
              <w:t>法定代表</w:t>
            </w:r>
            <w:r>
              <w:rPr>
                <w:rFonts w:hint="eastAsia" w:ascii="仿宋" w:hAnsi="仿宋" w:eastAsia="仿宋" w:cs="仿宋"/>
                <w:b w:val="0"/>
                <w:bCs w:val="0"/>
                <w:sz w:val="28"/>
                <w:szCs w:val="28"/>
                <w:highlight w:val="none"/>
                <w:lang w:val="en-US" w:eastAsia="zh-CN"/>
              </w:rPr>
              <w:t>人(签字)</w:t>
            </w:r>
          </w:p>
        </w:tc>
        <w:tc>
          <w:tcPr>
            <w:tcW w:w="3253" w:type="dxa"/>
            <w:tcBorders>
              <w:right w:val="single" w:color="auto" w:sz="12"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eastAsia" w:ascii="仿宋" w:hAnsi="仿宋" w:eastAsia="仿宋" w:cs="仿宋"/>
                <w:b w:val="0"/>
                <w:bCs w:val="0"/>
                <w:sz w:val="28"/>
                <w:szCs w:val="2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1662" w:type="dxa"/>
            <w:tcBorders>
              <w:left w:val="single" w:color="auto" w:sz="12"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sz w:val="28"/>
                <w:szCs w:val="28"/>
                <w:highlight w:val="none"/>
                <w:lang w:val="en-US" w:eastAsia="zh-CN"/>
              </w:rPr>
              <w:t>委托代表人(签字)</w:t>
            </w:r>
          </w:p>
        </w:tc>
        <w:tc>
          <w:tcPr>
            <w:tcW w:w="3264" w:type="dxa"/>
            <w:tcBorders>
              <w:right w:val="single" w:color="auto" w:sz="12"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eastAsia" w:ascii="仿宋" w:hAnsi="仿宋" w:eastAsia="仿宋" w:cs="仿宋"/>
                <w:b w:val="0"/>
                <w:bCs w:val="0"/>
                <w:color w:val="auto"/>
                <w:sz w:val="28"/>
                <w:szCs w:val="28"/>
                <w:highlight w:val="none"/>
                <w:vertAlign w:val="baseline"/>
                <w:lang w:val="en-US" w:eastAsia="zh-CN"/>
              </w:rPr>
            </w:pPr>
          </w:p>
        </w:tc>
        <w:tc>
          <w:tcPr>
            <w:tcW w:w="1673" w:type="dxa"/>
            <w:tcBorders>
              <w:left w:val="single" w:color="auto" w:sz="12"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委托代表人(签字)</w:t>
            </w:r>
          </w:p>
        </w:tc>
        <w:tc>
          <w:tcPr>
            <w:tcW w:w="3253" w:type="dxa"/>
            <w:tcBorders>
              <w:right w:val="single" w:color="auto" w:sz="12"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eastAsia" w:ascii="仿宋" w:hAnsi="仿宋" w:eastAsia="仿宋" w:cs="仿宋"/>
                <w:b w:val="0"/>
                <w:bCs w:val="0"/>
                <w:sz w:val="28"/>
                <w:szCs w:val="2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62" w:type="dxa"/>
            <w:tcBorders>
              <w:left w:val="single" w:color="auto" w:sz="12"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sz w:val="28"/>
                <w:szCs w:val="28"/>
                <w:highlight w:val="none"/>
                <w:lang w:val="en-US" w:eastAsia="zh-CN"/>
              </w:rPr>
              <w:t>联 系 人</w:t>
            </w:r>
          </w:p>
        </w:tc>
        <w:tc>
          <w:tcPr>
            <w:tcW w:w="3264" w:type="dxa"/>
            <w:tcBorders>
              <w:right w:val="single" w:color="auto" w:sz="12"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both"/>
              <w:textAlignment w:val="auto"/>
              <w:outlineLvl w:val="9"/>
              <w:rPr>
                <w:rFonts w:hint="eastAsia" w:ascii="仿宋" w:hAnsi="仿宋" w:eastAsia="仿宋" w:cs="仿宋"/>
                <w:b w:val="0"/>
                <w:bCs w:val="0"/>
                <w:color w:val="auto"/>
                <w:sz w:val="28"/>
                <w:szCs w:val="28"/>
                <w:highlight w:val="none"/>
                <w:vertAlign w:val="baseline"/>
                <w:lang w:val="en-US" w:eastAsia="zh-CN"/>
              </w:rPr>
            </w:pPr>
          </w:p>
        </w:tc>
        <w:tc>
          <w:tcPr>
            <w:tcW w:w="1673" w:type="dxa"/>
            <w:tcBorders>
              <w:left w:val="single" w:color="auto" w:sz="12"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联 系 人</w:t>
            </w:r>
          </w:p>
        </w:tc>
        <w:tc>
          <w:tcPr>
            <w:tcW w:w="3253" w:type="dxa"/>
            <w:tcBorders>
              <w:right w:val="single" w:color="auto" w:sz="12"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both"/>
              <w:textAlignment w:val="auto"/>
              <w:outlineLvl w:val="9"/>
              <w:rPr>
                <w:rFonts w:hint="eastAsia" w:ascii="仿宋" w:hAnsi="仿宋" w:eastAsia="仿宋" w:cs="仿宋"/>
                <w:b w:val="0"/>
                <w:bCs w:val="0"/>
                <w:sz w:val="28"/>
                <w:szCs w:val="2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62" w:type="dxa"/>
            <w:tcBorders>
              <w:left w:val="single" w:color="auto" w:sz="12"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eastAsia" w:ascii="仿宋" w:hAnsi="仿宋" w:eastAsia="仿宋" w:cs="仿宋"/>
                <w:color w:val="auto"/>
                <w:sz w:val="28"/>
                <w:szCs w:val="28"/>
                <w:highlight w:val="none"/>
                <w:vertAlign w:val="baseline"/>
                <w:lang w:val="en-US" w:eastAsia="zh-CN"/>
              </w:rPr>
            </w:pPr>
            <w:r>
              <w:rPr>
                <w:rFonts w:hint="eastAsia" w:ascii="仿宋" w:hAnsi="仿宋" w:eastAsia="仿宋" w:cs="仿宋"/>
                <w:sz w:val="28"/>
                <w:szCs w:val="28"/>
                <w:highlight w:val="none"/>
                <w:lang w:val="en-US" w:eastAsia="zh-CN"/>
              </w:rPr>
              <w:t>联系电话</w:t>
            </w:r>
          </w:p>
        </w:tc>
        <w:tc>
          <w:tcPr>
            <w:tcW w:w="3264" w:type="dxa"/>
            <w:tcBorders>
              <w:right w:val="single" w:color="auto" w:sz="12"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both"/>
              <w:textAlignment w:val="auto"/>
              <w:outlineLvl w:val="9"/>
              <w:rPr>
                <w:rFonts w:hint="eastAsia" w:ascii="仿宋" w:hAnsi="仿宋" w:eastAsia="仿宋" w:cs="仿宋"/>
                <w:color w:val="auto"/>
                <w:sz w:val="28"/>
                <w:szCs w:val="28"/>
                <w:highlight w:val="none"/>
                <w:vertAlign w:val="baseline"/>
                <w:lang w:val="en-US" w:eastAsia="zh-CN"/>
              </w:rPr>
            </w:pPr>
          </w:p>
        </w:tc>
        <w:tc>
          <w:tcPr>
            <w:tcW w:w="1673" w:type="dxa"/>
            <w:tcBorders>
              <w:left w:val="single" w:color="auto" w:sz="12"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eastAsia" w:ascii="仿宋" w:hAnsi="仿宋" w:eastAsia="仿宋" w:cs="仿宋"/>
                <w:b w:val="0"/>
                <w:bCs w:val="0"/>
                <w:sz w:val="28"/>
                <w:szCs w:val="28"/>
                <w:highlight w:val="none"/>
                <w:lang w:val="en-US" w:eastAsia="zh-CN"/>
              </w:rPr>
            </w:pPr>
            <w:r>
              <w:rPr>
                <w:rFonts w:hint="eastAsia" w:ascii="仿宋" w:hAnsi="仿宋" w:eastAsia="仿宋" w:cs="仿宋"/>
                <w:sz w:val="28"/>
                <w:szCs w:val="28"/>
                <w:highlight w:val="none"/>
                <w:lang w:val="en-US" w:eastAsia="zh-CN"/>
              </w:rPr>
              <w:t>联系电话</w:t>
            </w:r>
          </w:p>
        </w:tc>
        <w:tc>
          <w:tcPr>
            <w:tcW w:w="3253" w:type="dxa"/>
            <w:tcBorders>
              <w:right w:val="single" w:color="auto" w:sz="12"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both"/>
              <w:textAlignment w:val="auto"/>
              <w:outlineLvl w:val="9"/>
              <w:rPr>
                <w:rFonts w:hint="eastAsia" w:ascii="仿宋" w:hAnsi="仿宋" w:eastAsia="仿宋" w:cs="仿宋"/>
                <w:b w:val="0"/>
                <w:bCs w:val="0"/>
                <w:sz w:val="28"/>
                <w:szCs w:val="2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62" w:type="dxa"/>
            <w:tcBorders>
              <w:left w:val="single" w:color="auto" w:sz="12" w:space="0"/>
              <w:bottom w:val="single" w:color="auto" w:sz="12"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eastAsia" w:ascii="仿宋" w:hAnsi="仿宋" w:eastAsia="仿宋" w:cs="仿宋"/>
                <w:color w:val="auto"/>
                <w:sz w:val="28"/>
                <w:szCs w:val="28"/>
                <w:highlight w:val="none"/>
                <w:vertAlign w:val="baseline"/>
                <w:lang w:val="en-US" w:eastAsia="zh-CN"/>
              </w:rPr>
            </w:pPr>
            <w:r>
              <w:rPr>
                <w:rFonts w:hint="eastAsia" w:ascii="仿宋" w:hAnsi="仿宋" w:eastAsia="仿宋" w:cs="仿宋"/>
                <w:color w:val="auto"/>
                <w:sz w:val="28"/>
                <w:szCs w:val="28"/>
                <w:highlight w:val="none"/>
                <w:vertAlign w:val="baseline"/>
                <w:lang w:val="en-US" w:eastAsia="zh-CN"/>
              </w:rPr>
              <w:t>日    期</w:t>
            </w:r>
          </w:p>
        </w:tc>
        <w:tc>
          <w:tcPr>
            <w:tcW w:w="3264" w:type="dxa"/>
            <w:tcBorders>
              <w:bottom w:val="single" w:color="auto" w:sz="12" w:space="0"/>
              <w:right w:val="single" w:color="auto" w:sz="12"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both"/>
              <w:textAlignment w:val="auto"/>
              <w:outlineLvl w:val="9"/>
              <w:rPr>
                <w:rFonts w:hint="eastAsia" w:ascii="仿宋" w:hAnsi="仿宋" w:eastAsia="仿宋" w:cs="仿宋"/>
                <w:color w:val="auto"/>
                <w:sz w:val="28"/>
                <w:szCs w:val="28"/>
                <w:highlight w:val="none"/>
                <w:vertAlign w:val="baseline"/>
                <w:lang w:val="en-US" w:eastAsia="zh-CN"/>
              </w:rPr>
            </w:pPr>
          </w:p>
        </w:tc>
        <w:tc>
          <w:tcPr>
            <w:tcW w:w="1673" w:type="dxa"/>
            <w:tcBorders>
              <w:left w:val="single" w:color="auto" w:sz="12" w:space="0"/>
              <w:bottom w:val="single" w:color="auto" w:sz="12"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eastAsia" w:ascii="仿宋" w:hAnsi="仿宋" w:eastAsia="仿宋" w:cs="仿宋"/>
                <w:b w:val="0"/>
                <w:bCs w:val="0"/>
                <w:sz w:val="28"/>
                <w:szCs w:val="28"/>
                <w:highlight w:val="none"/>
                <w:lang w:val="en-US" w:eastAsia="zh-CN"/>
              </w:rPr>
            </w:pPr>
            <w:r>
              <w:rPr>
                <w:rFonts w:hint="eastAsia" w:ascii="仿宋" w:hAnsi="仿宋" w:eastAsia="仿宋" w:cs="仿宋"/>
                <w:color w:val="auto"/>
                <w:sz w:val="28"/>
                <w:szCs w:val="28"/>
                <w:highlight w:val="none"/>
                <w:vertAlign w:val="baseline"/>
                <w:lang w:val="en-US" w:eastAsia="zh-CN"/>
              </w:rPr>
              <w:t>日    期</w:t>
            </w:r>
          </w:p>
        </w:tc>
        <w:tc>
          <w:tcPr>
            <w:tcW w:w="3253" w:type="dxa"/>
            <w:tcBorders>
              <w:bottom w:val="single" w:color="auto" w:sz="12" w:space="0"/>
              <w:right w:val="single" w:color="auto" w:sz="12"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both"/>
              <w:textAlignment w:val="auto"/>
              <w:outlineLvl w:val="9"/>
              <w:rPr>
                <w:rFonts w:hint="eastAsia" w:ascii="仿宋" w:hAnsi="仿宋" w:eastAsia="仿宋" w:cs="仿宋"/>
                <w:b w:val="0"/>
                <w:bCs w:val="0"/>
                <w:sz w:val="28"/>
                <w:szCs w:val="28"/>
                <w:highlight w:val="none"/>
                <w:lang w:val="en-US" w:eastAsia="zh-CN"/>
              </w:rPr>
            </w:pPr>
          </w:p>
        </w:tc>
      </w:tr>
    </w:tbl>
    <w:p/>
    <w:p>
      <w:pPr>
        <w:pStyle w:val="5"/>
        <w:spacing w:before="43"/>
        <w:ind w:left="0" w:firstLine="0"/>
        <w:rPr>
          <w:sz w:val="20"/>
          <w:highlight w:val="none"/>
        </w:rPr>
      </w:pPr>
      <w:bookmarkStart w:id="196" w:name="_Toc20589"/>
      <w:r>
        <w:rPr>
          <w:highlight w:val="none"/>
        </w:rPr>
        <w:t>附件一：合同协议书</w:t>
      </w:r>
      <w:bookmarkEnd w:id="196"/>
    </w:p>
    <w:p>
      <w:pPr>
        <w:pStyle w:val="11"/>
        <w:rPr>
          <w:sz w:val="20"/>
          <w:highlight w:val="none"/>
        </w:rPr>
      </w:pPr>
    </w:p>
    <w:p>
      <w:pPr>
        <w:spacing w:before="226"/>
        <w:ind w:left="4020"/>
        <w:rPr>
          <w:sz w:val="28"/>
          <w:highlight w:val="none"/>
        </w:rPr>
      </w:pPr>
      <w:r>
        <w:rPr>
          <w:sz w:val="28"/>
          <w:highlight w:val="none"/>
        </w:rPr>
        <w:t>合同协议书</w:t>
      </w:r>
    </w:p>
    <w:p>
      <w:pPr>
        <w:pStyle w:val="11"/>
        <w:rPr>
          <w:sz w:val="28"/>
          <w:highlight w:val="none"/>
        </w:rPr>
      </w:pPr>
    </w:p>
    <w:p>
      <w:pPr>
        <w:pStyle w:val="11"/>
        <w:tabs>
          <w:tab w:val="left" w:pos="2757"/>
          <w:tab w:val="left" w:pos="5265"/>
          <w:tab w:val="left" w:pos="7783"/>
        </w:tabs>
        <w:spacing w:before="231" w:line="393" w:lineRule="auto"/>
        <w:ind w:left="400" w:right="691" w:firstLine="359"/>
        <w:rPr>
          <w:highlight w:val="none"/>
        </w:rPr>
      </w:pPr>
      <w:r>
        <w:rPr>
          <w:rFonts w:ascii="Times New Roman" w:hAnsi="Times New Roman" w:eastAsia="Times New Roman"/>
          <w:highlight w:val="none"/>
          <w:u w:val="single"/>
        </w:rPr>
        <w:t xml:space="preserve"> </w:t>
      </w:r>
      <w:r>
        <w:rPr>
          <w:rFonts w:ascii="Times New Roman" w:hAnsi="Times New Roman" w:eastAsia="Times New Roman"/>
          <w:highlight w:val="none"/>
          <w:u w:val="single"/>
        </w:rPr>
        <w:tab/>
      </w:r>
      <w:r>
        <w:rPr>
          <w:spacing w:val="-3"/>
          <w:highlight w:val="none"/>
        </w:rPr>
        <w:t>（买</w:t>
      </w:r>
      <w:r>
        <w:rPr>
          <w:highlight w:val="none"/>
        </w:rPr>
        <w:t>方名</w:t>
      </w:r>
      <w:r>
        <w:rPr>
          <w:spacing w:val="-3"/>
          <w:highlight w:val="none"/>
        </w:rPr>
        <w:t>称</w:t>
      </w:r>
      <w:r>
        <w:rPr>
          <w:spacing w:val="-68"/>
          <w:highlight w:val="none"/>
        </w:rPr>
        <w:t>，</w:t>
      </w:r>
      <w:r>
        <w:rPr>
          <w:spacing w:val="-3"/>
          <w:highlight w:val="none"/>
        </w:rPr>
        <w:t>以</w:t>
      </w:r>
      <w:r>
        <w:rPr>
          <w:highlight w:val="none"/>
        </w:rPr>
        <w:t>下</w:t>
      </w:r>
      <w:r>
        <w:rPr>
          <w:spacing w:val="-3"/>
          <w:highlight w:val="none"/>
        </w:rPr>
        <w:t>简</w:t>
      </w:r>
      <w:r>
        <w:rPr>
          <w:highlight w:val="none"/>
        </w:rPr>
        <w:t>称</w:t>
      </w:r>
      <w:r>
        <w:rPr>
          <w:rFonts w:ascii="Times New Roman" w:hAnsi="Times New Roman" w:eastAsia="Times New Roman"/>
          <w:i/>
          <w:highlight w:val="none"/>
        </w:rPr>
        <w:t>“</w:t>
      </w:r>
      <w:r>
        <w:rPr>
          <w:spacing w:val="-3"/>
          <w:highlight w:val="none"/>
        </w:rPr>
        <w:t>买</w:t>
      </w:r>
      <w:r>
        <w:rPr>
          <w:highlight w:val="none"/>
        </w:rPr>
        <w:t>方</w:t>
      </w:r>
      <w:r>
        <w:rPr>
          <w:rFonts w:ascii="Times New Roman" w:hAnsi="Times New Roman" w:eastAsia="Times New Roman"/>
          <w:i/>
          <w:spacing w:val="-36"/>
          <w:highlight w:val="none"/>
        </w:rPr>
        <w:t>”</w:t>
      </w:r>
      <w:r>
        <w:rPr>
          <w:spacing w:val="-36"/>
          <w:highlight w:val="none"/>
        </w:rPr>
        <w:t>）</w:t>
      </w:r>
      <w:r>
        <w:rPr>
          <w:highlight w:val="none"/>
        </w:rPr>
        <w:t>为获得</w:t>
      </w:r>
      <w:r>
        <w:rPr>
          <w:highlight w:val="none"/>
          <w:u w:val="single"/>
        </w:rPr>
        <w:t xml:space="preserve"> </w:t>
      </w:r>
      <w:r>
        <w:rPr>
          <w:highlight w:val="none"/>
          <w:u w:val="single"/>
        </w:rPr>
        <w:tab/>
      </w:r>
      <w:r>
        <w:rPr>
          <w:spacing w:val="-3"/>
          <w:highlight w:val="none"/>
          <w:u w:val="single"/>
        </w:rPr>
        <w:t>（</w:t>
      </w:r>
      <w:r>
        <w:rPr>
          <w:highlight w:val="none"/>
        </w:rPr>
        <w:t>项目</w:t>
      </w:r>
      <w:r>
        <w:rPr>
          <w:spacing w:val="-3"/>
          <w:highlight w:val="none"/>
        </w:rPr>
        <w:t>名</w:t>
      </w:r>
      <w:r>
        <w:rPr>
          <w:highlight w:val="none"/>
        </w:rPr>
        <w:t>称</w:t>
      </w:r>
      <w:r>
        <w:rPr>
          <w:spacing w:val="-16"/>
          <w:highlight w:val="none"/>
        </w:rPr>
        <w:t xml:space="preserve">） </w:t>
      </w:r>
      <w:r>
        <w:rPr>
          <w:highlight w:val="none"/>
        </w:rPr>
        <w:t>合同</w:t>
      </w:r>
      <w:r>
        <w:rPr>
          <w:rFonts w:hint="eastAsia"/>
          <w:highlight w:val="none"/>
        </w:rPr>
        <w:t>和</w:t>
      </w:r>
      <w:r>
        <w:rPr>
          <w:highlight w:val="none"/>
        </w:rPr>
        <w:t>相关服务，</w:t>
      </w:r>
      <w:r>
        <w:rPr>
          <w:spacing w:val="-3"/>
          <w:highlight w:val="none"/>
        </w:rPr>
        <w:t>已</w:t>
      </w:r>
      <w:r>
        <w:rPr>
          <w:highlight w:val="none"/>
        </w:rPr>
        <w:t>接受</w:t>
      </w:r>
      <w:r>
        <w:rPr>
          <w:highlight w:val="none"/>
          <w:u w:val="single"/>
        </w:rPr>
        <w:t xml:space="preserve"> </w:t>
      </w:r>
      <w:r>
        <w:rPr>
          <w:highlight w:val="none"/>
          <w:u w:val="single"/>
        </w:rPr>
        <w:tab/>
      </w:r>
      <w:r>
        <w:rPr>
          <w:w w:val="95"/>
          <w:highlight w:val="none"/>
        </w:rPr>
        <w:t>（</w:t>
      </w:r>
      <w:r>
        <w:rPr>
          <w:highlight w:val="none"/>
        </w:rPr>
        <w:t>卖方名称，以下简称“卖方”）为提供上述合同材料和相关服务所作的投标，买方和卖方共同达成如下协议：</w:t>
      </w:r>
    </w:p>
    <w:p>
      <w:pPr>
        <w:pStyle w:val="28"/>
        <w:numPr>
          <w:ilvl w:val="0"/>
          <w:numId w:val="18"/>
        </w:numPr>
        <w:tabs>
          <w:tab w:val="left" w:pos="1085"/>
        </w:tabs>
        <w:spacing w:before="170"/>
        <w:rPr>
          <w:sz w:val="21"/>
          <w:highlight w:val="none"/>
        </w:rPr>
      </w:pPr>
      <w:r>
        <w:rPr>
          <w:spacing w:val="-3"/>
          <w:sz w:val="21"/>
          <w:highlight w:val="none"/>
        </w:rPr>
        <w:t>本协议书与下列文件一起构成合同文件：</w:t>
      </w:r>
    </w:p>
    <w:p>
      <w:pPr>
        <w:pStyle w:val="28"/>
        <w:numPr>
          <w:ilvl w:val="0"/>
          <w:numId w:val="19"/>
        </w:numPr>
        <w:tabs>
          <w:tab w:val="left" w:pos="1350"/>
        </w:tabs>
        <w:spacing w:before="172"/>
        <w:rPr>
          <w:sz w:val="21"/>
          <w:highlight w:val="none"/>
        </w:rPr>
      </w:pPr>
      <w:r>
        <w:rPr>
          <w:spacing w:val="-3"/>
          <w:sz w:val="21"/>
          <w:highlight w:val="none"/>
        </w:rPr>
        <w:t>中标通知书；</w:t>
      </w:r>
    </w:p>
    <w:p>
      <w:pPr>
        <w:pStyle w:val="28"/>
        <w:numPr>
          <w:ilvl w:val="0"/>
          <w:numId w:val="19"/>
        </w:numPr>
        <w:tabs>
          <w:tab w:val="left" w:pos="1350"/>
        </w:tabs>
        <w:spacing w:before="171"/>
        <w:rPr>
          <w:sz w:val="21"/>
          <w:highlight w:val="none"/>
        </w:rPr>
      </w:pPr>
      <w:r>
        <w:rPr>
          <w:spacing w:val="-2"/>
          <w:sz w:val="21"/>
          <w:highlight w:val="none"/>
        </w:rPr>
        <w:t>投标函；</w:t>
      </w:r>
    </w:p>
    <w:p>
      <w:pPr>
        <w:pStyle w:val="28"/>
        <w:numPr>
          <w:ilvl w:val="0"/>
          <w:numId w:val="19"/>
        </w:numPr>
        <w:tabs>
          <w:tab w:val="left" w:pos="1350"/>
        </w:tabs>
        <w:spacing w:before="170"/>
        <w:rPr>
          <w:sz w:val="21"/>
          <w:highlight w:val="none"/>
        </w:rPr>
      </w:pPr>
      <w:r>
        <w:rPr>
          <w:spacing w:val="-3"/>
          <w:sz w:val="21"/>
          <w:highlight w:val="none"/>
        </w:rPr>
        <w:t>商务和技术偏差表；</w:t>
      </w:r>
    </w:p>
    <w:p>
      <w:pPr>
        <w:pStyle w:val="28"/>
        <w:numPr>
          <w:ilvl w:val="0"/>
          <w:numId w:val="19"/>
        </w:numPr>
        <w:tabs>
          <w:tab w:val="left" w:pos="1350"/>
        </w:tabs>
        <w:spacing w:before="172"/>
        <w:rPr>
          <w:sz w:val="21"/>
          <w:highlight w:val="none"/>
        </w:rPr>
      </w:pPr>
      <w:r>
        <w:rPr>
          <w:spacing w:val="-3"/>
          <w:sz w:val="21"/>
          <w:highlight w:val="none"/>
        </w:rPr>
        <w:t>合同条款；</w:t>
      </w:r>
    </w:p>
    <w:p>
      <w:pPr>
        <w:pStyle w:val="28"/>
        <w:numPr>
          <w:ilvl w:val="0"/>
          <w:numId w:val="19"/>
        </w:numPr>
        <w:tabs>
          <w:tab w:val="left" w:pos="1350"/>
        </w:tabs>
        <w:spacing w:before="170"/>
        <w:rPr>
          <w:sz w:val="21"/>
          <w:highlight w:val="none"/>
        </w:rPr>
      </w:pPr>
      <w:r>
        <w:rPr>
          <w:spacing w:val="-3"/>
          <w:sz w:val="21"/>
          <w:highlight w:val="none"/>
        </w:rPr>
        <w:t>供货要求；</w:t>
      </w:r>
    </w:p>
    <w:p>
      <w:pPr>
        <w:pStyle w:val="28"/>
        <w:numPr>
          <w:ilvl w:val="0"/>
          <w:numId w:val="19"/>
        </w:numPr>
        <w:tabs>
          <w:tab w:val="left" w:pos="1350"/>
        </w:tabs>
        <w:spacing w:before="171"/>
        <w:rPr>
          <w:sz w:val="21"/>
          <w:highlight w:val="none"/>
        </w:rPr>
      </w:pPr>
      <w:r>
        <w:rPr>
          <w:spacing w:val="-3"/>
          <w:sz w:val="21"/>
          <w:highlight w:val="none"/>
        </w:rPr>
        <w:t>分项报价表；</w:t>
      </w:r>
    </w:p>
    <w:p>
      <w:pPr>
        <w:pStyle w:val="28"/>
        <w:numPr>
          <w:ilvl w:val="0"/>
          <w:numId w:val="19"/>
        </w:numPr>
        <w:tabs>
          <w:tab w:val="left" w:pos="1350"/>
        </w:tabs>
        <w:spacing w:before="171"/>
        <w:rPr>
          <w:sz w:val="21"/>
          <w:highlight w:val="none"/>
        </w:rPr>
      </w:pPr>
      <w:r>
        <w:rPr>
          <w:rFonts w:hint="eastAsia"/>
          <w:spacing w:val="-3"/>
          <w:sz w:val="21"/>
          <w:highlight w:val="none"/>
        </w:rPr>
        <w:t>技术服务和质保期服务计划</w:t>
      </w:r>
      <w:r>
        <w:rPr>
          <w:spacing w:val="-3"/>
          <w:sz w:val="21"/>
          <w:highlight w:val="none"/>
        </w:rPr>
        <w:t>；</w:t>
      </w:r>
    </w:p>
    <w:p>
      <w:pPr>
        <w:pStyle w:val="28"/>
        <w:tabs>
          <w:tab w:val="left" w:pos="1455"/>
        </w:tabs>
        <w:spacing w:before="172"/>
        <w:ind w:left="820" w:firstLine="0"/>
        <w:rPr>
          <w:sz w:val="21"/>
          <w:highlight w:val="none"/>
        </w:rPr>
      </w:pPr>
      <w:r>
        <w:rPr>
          <w:rFonts w:hint="eastAsia"/>
          <w:spacing w:val="-3"/>
          <w:sz w:val="21"/>
          <w:highlight w:val="none"/>
        </w:rPr>
        <w:t>（</w:t>
      </w:r>
      <w:r>
        <w:rPr>
          <w:rFonts w:hint="eastAsia"/>
          <w:spacing w:val="-3"/>
          <w:sz w:val="21"/>
          <w:highlight w:val="none"/>
          <w:lang w:val="en-US"/>
        </w:rPr>
        <w:t>8</w:t>
      </w:r>
      <w:r>
        <w:rPr>
          <w:rFonts w:hint="eastAsia"/>
          <w:spacing w:val="-3"/>
          <w:sz w:val="21"/>
          <w:highlight w:val="none"/>
        </w:rPr>
        <w:t>）</w:t>
      </w:r>
      <w:r>
        <w:rPr>
          <w:spacing w:val="-3"/>
          <w:sz w:val="21"/>
          <w:highlight w:val="none"/>
        </w:rPr>
        <w:t>其他合同文件。</w:t>
      </w:r>
    </w:p>
    <w:p>
      <w:pPr>
        <w:pStyle w:val="28"/>
        <w:numPr>
          <w:ilvl w:val="0"/>
          <w:numId w:val="18"/>
        </w:numPr>
        <w:tabs>
          <w:tab w:val="left" w:pos="1085"/>
        </w:tabs>
        <w:spacing w:before="170" w:line="391" w:lineRule="auto"/>
        <w:ind w:left="400" w:right="693" w:firstLine="420"/>
        <w:rPr>
          <w:sz w:val="21"/>
          <w:highlight w:val="none"/>
        </w:rPr>
      </w:pPr>
      <w:r>
        <w:rPr>
          <w:spacing w:val="-5"/>
          <w:sz w:val="21"/>
          <w:highlight w:val="none"/>
        </w:rPr>
        <w:t>上述合同文件互相补充和解释。如果合同文件之间存在矛盾或不一致之处，以上述文件</w:t>
      </w:r>
      <w:r>
        <w:rPr>
          <w:spacing w:val="-4"/>
          <w:sz w:val="21"/>
          <w:highlight w:val="none"/>
        </w:rPr>
        <w:t>的排列顺序在先者为准。</w:t>
      </w:r>
    </w:p>
    <w:p>
      <w:pPr>
        <w:pStyle w:val="28"/>
        <w:numPr>
          <w:ilvl w:val="0"/>
          <w:numId w:val="18"/>
        </w:numPr>
        <w:tabs>
          <w:tab w:val="left" w:pos="1085"/>
        </w:tabs>
        <w:spacing w:before="170"/>
        <w:rPr>
          <w:sz w:val="21"/>
          <w:highlight w:val="none"/>
        </w:rPr>
      </w:pPr>
      <w:r>
        <w:rPr>
          <w:spacing w:val="-3"/>
          <w:sz w:val="21"/>
          <w:highlight w:val="none"/>
        </w:rPr>
        <w:t>卖方承诺保证完全按照合同约定提供合同材料和相关服务并修补缺陷。</w:t>
      </w:r>
    </w:p>
    <w:p>
      <w:pPr>
        <w:pStyle w:val="28"/>
        <w:numPr>
          <w:ilvl w:val="0"/>
          <w:numId w:val="18"/>
        </w:numPr>
        <w:tabs>
          <w:tab w:val="left" w:pos="1085"/>
        </w:tabs>
        <w:spacing w:before="170"/>
        <w:rPr>
          <w:sz w:val="21"/>
          <w:highlight w:val="none"/>
        </w:rPr>
      </w:pPr>
      <w:r>
        <w:rPr>
          <w:spacing w:val="-3"/>
          <w:sz w:val="21"/>
          <w:highlight w:val="none"/>
        </w:rPr>
        <w:t>买方承诺保证按照合同约定的条件、时间和方式向卖方支付合同价款。</w:t>
      </w:r>
    </w:p>
    <w:p>
      <w:pPr>
        <w:pStyle w:val="28"/>
        <w:numPr>
          <w:ilvl w:val="0"/>
          <w:numId w:val="18"/>
        </w:numPr>
        <w:tabs>
          <w:tab w:val="left" w:pos="1085"/>
          <w:tab w:val="left" w:pos="3499"/>
          <w:tab w:val="left" w:pos="5914"/>
        </w:tabs>
        <w:spacing w:before="172"/>
        <w:rPr>
          <w:sz w:val="21"/>
          <w:highlight w:val="none"/>
        </w:rPr>
      </w:pPr>
      <w:r>
        <w:rPr>
          <w:spacing w:val="-3"/>
          <w:sz w:val="21"/>
          <w:highlight w:val="none"/>
        </w:rPr>
        <w:t>本</w:t>
      </w:r>
      <w:r>
        <w:rPr>
          <w:sz w:val="21"/>
          <w:highlight w:val="none"/>
        </w:rPr>
        <w:t>合</w:t>
      </w:r>
      <w:r>
        <w:rPr>
          <w:spacing w:val="-3"/>
          <w:sz w:val="21"/>
          <w:highlight w:val="none"/>
        </w:rPr>
        <w:t>同</w:t>
      </w:r>
      <w:r>
        <w:rPr>
          <w:sz w:val="21"/>
          <w:highlight w:val="none"/>
        </w:rPr>
        <w:t>协</w:t>
      </w:r>
      <w:r>
        <w:rPr>
          <w:spacing w:val="-3"/>
          <w:sz w:val="21"/>
          <w:highlight w:val="none"/>
        </w:rPr>
        <w:t>议</w:t>
      </w:r>
      <w:r>
        <w:rPr>
          <w:sz w:val="21"/>
          <w:highlight w:val="none"/>
        </w:rPr>
        <w:t>书</w:t>
      </w:r>
      <w:r>
        <w:rPr>
          <w:spacing w:val="-3"/>
          <w:sz w:val="21"/>
          <w:highlight w:val="none"/>
        </w:rPr>
        <w:t>一</w:t>
      </w:r>
      <w:r>
        <w:rPr>
          <w:sz w:val="21"/>
          <w:highlight w:val="none"/>
        </w:rPr>
        <w:t>式</w:t>
      </w:r>
      <w:r>
        <w:rPr>
          <w:sz w:val="21"/>
          <w:highlight w:val="none"/>
          <w:u w:val="single"/>
        </w:rPr>
        <w:t xml:space="preserve"> </w:t>
      </w:r>
      <w:r>
        <w:rPr>
          <w:sz w:val="21"/>
          <w:highlight w:val="none"/>
          <w:u w:val="single"/>
        </w:rPr>
        <w:tab/>
      </w:r>
      <w:r>
        <w:rPr>
          <w:spacing w:val="-3"/>
          <w:sz w:val="21"/>
          <w:highlight w:val="none"/>
        </w:rPr>
        <w:t>份</w:t>
      </w:r>
      <w:r>
        <w:rPr>
          <w:sz w:val="21"/>
          <w:highlight w:val="none"/>
        </w:rPr>
        <w:t>，</w:t>
      </w:r>
      <w:r>
        <w:rPr>
          <w:spacing w:val="-3"/>
          <w:sz w:val="21"/>
          <w:highlight w:val="none"/>
        </w:rPr>
        <w:t>合</w:t>
      </w:r>
      <w:r>
        <w:rPr>
          <w:sz w:val="21"/>
          <w:highlight w:val="none"/>
        </w:rPr>
        <w:t>同</w:t>
      </w:r>
      <w:r>
        <w:rPr>
          <w:spacing w:val="-3"/>
          <w:sz w:val="21"/>
          <w:highlight w:val="none"/>
        </w:rPr>
        <w:t>双</w:t>
      </w:r>
      <w:r>
        <w:rPr>
          <w:sz w:val="21"/>
          <w:highlight w:val="none"/>
        </w:rPr>
        <w:t>方</w:t>
      </w:r>
      <w:r>
        <w:rPr>
          <w:spacing w:val="-3"/>
          <w:sz w:val="21"/>
          <w:highlight w:val="none"/>
        </w:rPr>
        <w:t>各</w:t>
      </w:r>
      <w:r>
        <w:rPr>
          <w:sz w:val="21"/>
          <w:highlight w:val="none"/>
        </w:rPr>
        <w:t>执</w:t>
      </w:r>
      <w:r>
        <w:rPr>
          <w:sz w:val="21"/>
          <w:highlight w:val="none"/>
          <w:u w:val="single"/>
        </w:rPr>
        <w:t xml:space="preserve"> </w:t>
      </w:r>
      <w:r>
        <w:rPr>
          <w:sz w:val="21"/>
          <w:highlight w:val="none"/>
          <w:u w:val="single"/>
        </w:rPr>
        <w:tab/>
      </w:r>
      <w:r>
        <w:rPr>
          <w:spacing w:val="-3"/>
          <w:sz w:val="21"/>
          <w:highlight w:val="none"/>
        </w:rPr>
        <w:t>份。</w:t>
      </w:r>
    </w:p>
    <w:p>
      <w:pPr>
        <w:pStyle w:val="28"/>
        <w:numPr>
          <w:ilvl w:val="0"/>
          <w:numId w:val="18"/>
        </w:numPr>
        <w:tabs>
          <w:tab w:val="left" w:pos="1085"/>
        </w:tabs>
        <w:spacing w:before="171"/>
        <w:rPr>
          <w:sz w:val="21"/>
          <w:highlight w:val="none"/>
        </w:rPr>
      </w:pPr>
      <w:r>
        <w:rPr>
          <w:spacing w:val="-3"/>
          <w:sz w:val="21"/>
          <w:highlight w:val="none"/>
        </w:rPr>
        <w:t>合同未尽事宜，双方另行签订补充协议，补充协议是合同的组成部分。</w:t>
      </w:r>
    </w:p>
    <w:p>
      <w:pPr>
        <w:pStyle w:val="11"/>
        <w:spacing w:before="2"/>
        <w:rPr>
          <w:sz w:val="32"/>
          <w:highlight w:val="none"/>
        </w:rPr>
      </w:pPr>
    </w:p>
    <w:p>
      <w:pPr>
        <w:pStyle w:val="11"/>
        <w:tabs>
          <w:tab w:val="left" w:pos="7766"/>
        </w:tabs>
        <w:ind w:left="3026"/>
        <w:rPr>
          <w:highlight w:val="none"/>
        </w:rPr>
      </w:pPr>
      <w:r>
        <w:rPr>
          <w:highlight w:val="none"/>
        </w:rPr>
        <w:t>买方：</w:t>
      </w:r>
      <w:r>
        <w:rPr>
          <w:highlight w:val="none"/>
          <w:u w:val="single"/>
        </w:rPr>
        <w:t xml:space="preserve"> </w:t>
      </w:r>
      <w:r>
        <w:rPr>
          <w:highlight w:val="none"/>
          <w:u w:val="single"/>
        </w:rPr>
        <w:tab/>
      </w:r>
      <w:r>
        <w:rPr>
          <w:highlight w:val="none"/>
        </w:rPr>
        <w:t>（盖单位章）</w:t>
      </w:r>
    </w:p>
    <w:p>
      <w:pPr>
        <w:rPr>
          <w:highlight w:val="none"/>
        </w:rPr>
        <w:sectPr>
          <w:pgSz w:w="12240" w:h="15840"/>
          <w:pgMar w:top="1400" w:right="1100" w:bottom="1120" w:left="1400" w:header="0" w:footer="841" w:gutter="0"/>
          <w:cols w:space="720" w:num="1"/>
        </w:sectPr>
      </w:pPr>
    </w:p>
    <w:p>
      <w:pPr>
        <w:pStyle w:val="11"/>
        <w:tabs>
          <w:tab w:val="left" w:pos="8174"/>
        </w:tabs>
        <w:spacing w:before="83"/>
        <w:ind w:left="3026"/>
        <w:rPr>
          <w:highlight w:val="none"/>
        </w:rPr>
      </w:pPr>
      <w:r>
        <w:rPr>
          <w:highlight w:val="none"/>
        </w:rPr>
        <w:t>法定</w:t>
      </w:r>
      <w:r>
        <w:rPr>
          <w:spacing w:val="-3"/>
          <w:highlight w:val="none"/>
        </w:rPr>
        <w:t>代</w:t>
      </w:r>
      <w:r>
        <w:rPr>
          <w:highlight w:val="none"/>
        </w:rPr>
        <w:t>表</w:t>
      </w:r>
      <w:r>
        <w:rPr>
          <w:spacing w:val="-3"/>
          <w:highlight w:val="none"/>
        </w:rPr>
        <w:t>人</w:t>
      </w:r>
      <w:r>
        <w:rPr>
          <w:highlight w:val="none"/>
        </w:rPr>
        <w:t>（</w:t>
      </w:r>
      <w:r>
        <w:rPr>
          <w:spacing w:val="-3"/>
          <w:highlight w:val="none"/>
        </w:rPr>
        <w:t>单</w:t>
      </w:r>
      <w:r>
        <w:rPr>
          <w:highlight w:val="none"/>
        </w:rPr>
        <w:t>位</w:t>
      </w:r>
      <w:r>
        <w:rPr>
          <w:spacing w:val="-3"/>
          <w:highlight w:val="none"/>
        </w:rPr>
        <w:t>负</w:t>
      </w:r>
      <w:r>
        <w:rPr>
          <w:highlight w:val="none"/>
        </w:rPr>
        <w:t>责</w:t>
      </w:r>
      <w:r>
        <w:rPr>
          <w:spacing w:val="-3"/>
          <w:highlight w:val="none"/>
        </w:rPr>
        <w:t>人</w:t>
      </w:r>
      <w:r>
        <w:rPr>
          <w:highlight w:val="none"/>
        </w:rPr>
        <w:t>）或</w:t>
      </w:r>
      <w:r>
        <w:rPr>
          <w:spacing w:val="-3"/>
          <w:highlight w:val="none"/>
        </w:rPr>
        <w:t>其</w:t>
      </w:r>
      <w:r>
        <w:rPr>
          <w:highlight w:val="none"/>
        </w:rPr>
        <w:t>委</w:t>
      </w:r>
      <w:r>
        <w:rPr>
          <w:spacing w:val="-3"/>
          <w:highlight w:val="none"/>
        </w:rPr>
        <w:t>托</w:t>
      </w:r>
      <w:r>
        <w:rPr>
          <w:highlight w:val="none"/>
        </w:rPr>
        <w:t>代</w:t>
      </w:r>
      <w:r>
        <w:rPr>
          <w:spacing w:val="-3"/>
          <w:highlight w:val="none"/>
        </w:rPr>
        <w:t>理</w:t>
      </w:r>
      <w:r>
        <w:rPr>
          <w:highlight w:val="none"/>
        </w:rPr>
        <w:t>人</w:t>
      </w:r>
      <w:r>
        <w:rPr>
          <w:spacing w:val="-3"/>
          <w:highlight w:val="none"/>
        </w:rPr>
        <w:t>：</w:t>
      </w:r>
      <w:r>
        <w:rPr>
          <w:spacing w:val="-3"/>
          <w:highlight w:val="none"/>
          <w:u w:val="single"/>
        </w:rPr>
        <w:t xml:space="preserve"> </w:t>
      </w:r>
      <w:r>
        <w:rPr>
          <w:spacing w:val="-3"/>
          <w:highlight w:val="none"/>
          <w:u w:val="single"/>
        </w:rPr>
        <w:tab/>
      </w:r>
      <w:r>
        <w:rPr>
          <w:spacing w:val="-3"/>
          <w:highlight w:val="none"/>
        </w:rPr>
        <w:t>（</w:t>
      </w:r>
      <w:r>
        <w:rPr>
          <w:highlight w:val="none"/>
        </w:rPr>
        <w:t>签</w:t>
      </w:r>
      <w:r>
        <w:rPr>
          <w:spacing w:val="-3"/>
          <w:highlight w:val="none"/>
        </w:rPr>
        <w:t>字</w:t>
      </w:r>
      <w:r>
        <w:rPr>
          <w:highlight w:val="none"/>
        </w:rPr>
        <w:t>）</w:t>
      </w:r>
    </w:p>
    <w:p>
      <w:pPr>
        <w:pStyle w:val="11"/>
        <w:spacing w:before="1"/>
        <w:rPr>
          <w:sz w:val="17"/>
          <w:highlight w:val="none"/>
        </w:rPr>
      </w:pPr>
    </w:p>
    <w:p>
      <w:pPr>
        <w:pStyle w:val="11"/>
        <w:tabs>
          <w:tab w:val="left" w:pos="5758"/>
          <w:tab w:val="left" w:pos="6703"/>
          <w:tab w:val="left" w:pos="7646"/>
        </w:tabs>
        <w:spacing w:before="78"/>
        <w:ind w:left="5021"/>
        <w:rPr>
          <w:highlight w:val="none"/>
        </w:rPr>
      </w:pPr>
      <w:r>
        <w:rPr>
          <w:rFonts w:ascii="Times New Roman" w:eastAsia="Times New Roman"/>
          <w:highlight w:val="none"/>
          <w:u w:val="single"/>
        </w:rPr>
        <w:t xml:space="preserve"> </w:t>
      </w:r>
      <w:r>
        <w:rPr>
          <w:rFonts w:ascii="Times New Roman" w:eastAsia="Times New Roman"/>
          <w:highlight w:val="none"/>
          <w:u w:val="single"/>
        </w:rPr>
        <w:tab/>
      </w:r>
      <w:r>
        <w:rPr>
          <w:highlight w:val="none"/>
        </w:rPr>
        <w:t>年</w:t>
      </w:r>
      <w:r>
        <w:rPr>
          <w:highlight w:val="none"/>
          <w:u w:val="single"/>
        </w:rPr>
        <w:t xml:space="preserve"> </w:t>
      </w:r>
      <w:r>
        <w:rPr>
          <w:highlight w:val="none"/>
          <w:u w:val="single"/>
        </w:rPr>
        <w:tab/>
      </w:r>
      <w:r>
        <w:rPr>
          <w:spacing w:val="-3"/>
          <w:highlight w:val="none"/>
        </w:rPr>
        <w:t>月</w:t>
      </w:r>
      <w:r>
        <w:rPr>
          <w:spacing w:val="-3"/>
          <w:highlight w:val="none"/>
          <w:u w:val="single"/>
        </w:rPr>
        <w:t xml:space="preserve"> </w:t>
      </w:r>
      <w:r>
        <w:rPr>
          <w:spacing w:val="-3"/>
          <w:highlight w:val="none"/>
          <w:u w:val="single"/>
        </w:rPr>
        <w:tab/>
      </w:r>
      <w:r>
        <w:rPr>
          <w:highlight w:val="none"/>
        </w:rPr>
        <w:t>日</w:t>
      </w:r>
    </w:p>
    <w:p>
      <w:pPr>
        <w:pStyle w:val="11"/>
        <w:rPr>
          <w:sz w:val="20"/>
          <w:highlight w:val="none"/>
        </w:rPr>
      </w:pPr>
    </w:p>
    <w:p>
      <w:pPr>
        <w:pStyle w:val="11"/>
        <w:rPr>
          <w:sz w:val="20"/>
          <w:highlight w:val="none"/>
        </w:rPr>
      </w:pPr>
    </w:p>
    <w:p>
      <w:pPr>
        <w:pStyle w:val="11"/>
        <w:rPr>
          <w:sz w:val="20"/>
          <w:highlight w:val="none"/>
        </w:rPr>
      </w:pPr>
    </w:p>
    <w:p>
      <w:pPr>
        <w:pStyle w:val="11"/>
        <w:spacing w:before="7"/>
        <w:rPr>
          <w:sz w:val="18"/>
          <w:highlight w:val="none"/>
        </w:rPr>
      </w:pPr>
    </w:p>
    <w:p>
      <w:pPr>
        <w:pStyle w:val="11"/>
        <w:tabs>
          <w:tab w:val="left" w:pos="7750"/>
        </w:tabs>
        <w:spacing w:before="79"/>
        <w:ind w:left="2921"/>
        <w:rPr>
          <w:highlight w:val="none"/>
        </w:rPr>
      </w:pPr>
      <w:r>
        <w:rPr>
          <w:highlight w:val="none"/>
        </w:rPr>
        <w:t>卖方</w:t>
      </w:r>
      <w:r>
        <w:rPr>
          <w:spacing w:val="-3"/>
          <w:highlight w:val="none"/>
        </w:rPr>
        <w:t>：</w:t>
      </w:r>
      <w:r>
        <w:rPr>
          <w:spacing w:val="-3"/>
          <w:highlight w:val="none"/>
          <w:u w:val="single"/>
        </w:rPr>
        <w:t xml:space="preserve"> </w:t>
      </w:r>
      <w:r>
        <w:rPr>
          <w:spacing w:val="-3"/>
          <w:highlight w:val="none"/>
          <w:u w:val="single"/>
        </w:rPr>
        <w:tab/>
      </w:r>
      <w:r>
        <w:rPr>
          <w:highlight w:val="none"/>
        </w:rPr>
        <w:t>（盖</w:t>
      </w:r>
      <w:r>
        <w:rPr>
          <w:spacing w:val="-3"/>
          <w:highlight w:val="none"/>
        </w:rPr>
        <w:t>单</w:t>
      </w:r>
      <w:r>
        <w:rPr>
          <w:highlight w:val="none"/>
        </w:rPr>
        <w:t>位</w:t>
      </w:r>
      <w:r>
        <w:rPr>
          <w:spacing w:val="-3"/>
          <w:highlight w:val="none"/>
        </w:rPr>
        <w:t>章</w:t>
      </w:r>
      <w:r>
        <w:rPr>
          <w:highlight w:val="none"/>
        </w:rPr>
        <w:t>）</w:t>
      </w:r>
    </w:p>
    <w:p>
      <w:pPr>
        <w:pStyle w:val="11"/>
        <w:tabs>
          <w:tab w:val="left" w:pos="8172"/>
        </w:tabs>
        <w:spacing w:before="170"/>
        <w:ind w:left="2921"/>
        <w:rPr>
          <w:highlight w:val="none"/>
        </w:rPr>
      </w:pPr>
      <w:r>
        <w:rPr>
          <w:highlight w:val="none"/>
        </w:rPr>
        <w:t>法定</w:t>
      </w:r>
      <w:r>
        <w:rPr>
          <w:spacing w:val="-3"/>
          <w:highlight w:val="none"/>
        </w:rPr>
        <w:t>代</w:t>
      </w:r>
      <w:r>
        <w:rPr>
          <w:highlight w:val="none"/>
        </w:rPr>
        <w:t>表</w:t>
      </w:r>
      <w:r>
        <w:rPr>
          <w:spacing w:val="-3"/>
          <w:highlight w:val="none"/>
        </w:rPr>
        <w:t>人</w:t>
      </w:r>
      <w:r>
        <w:rPr>
          <w:highlight w:val="none"/>
        </w:rPr>
        <w:t>（</w:t>
      </w:r>
      <w:r>
        <w:rPr>
          <w:spacing w:val="-3"/>
          <w:highlight w:val="none"/>
        </w:rPr>
        <w:t>单</w:t>
      </w:r>
      <w:r>
        <w:rPr>
          <w:highlight w:val="none"/>
        </w:rPr>
        <w:t>位</w:t>
      </w:r>
      <w:r>
        <w:rPr>
          <w:spacing w:val="-3"/>
          <w:highlight w:val="none"/>
        </w:rPr>
        <w:t>负</w:t>
      </w:r>
      <w:r>
        <w:rPr>
          <w:highlight w:val="none"/>
        </w:rPr>
        <w:t>责</w:t>
      </w:r>
      <w:r>
        <w:rPr>
          <w:spacing w:val="-3"/>
          <w:highlight w:val="none"/>
        </w:rPr>
        <w:t>人</w:t>
      </w:r>
      <w:r>
        <w:rPr>
          <w:highlight w:val="none"/>
        </w:rPr>
        <w:t>）或</w:t>
      </w:r>
      <w:r>
        <w:rPr>
          <w:spacing w:val="-3"/>
          <w:highlight w:val="none"/>
        </w:rPr>
        <w:t>其</w:t>
      </w:r>
      <w:r>
        <w:rPr>
          <w:highlight w:val="none"/>
        </w:rPr>
        <w:t>委</w:t>
      </w:r>
      <w:r>
        <w:rPr>
          <w:spacing w:val="-3"/>
          <w:highlight w:val="none"/>
        </w:rPr>
        <w:t>托</w:t>
      </w:r>
      <w:r>
        <w:rPr>
          <w:highlight w:val="none"/>
        </w:rPr>
        <w:t>代</w:t>
      </w:r>
      <w:r>
        <w:rPr>
          <w:spacing w:val="-3"/>
          <w:highlight w:val="none"/>
        </w:rPr>
        <w:t>理</w:t>
      </w:r>
      <w:r>
        <w:rPr>
          <w:highlight w:val="none"/>
        </w:rPr>
        <w:t>人</w:t>
      </w:r>
      <w:r>
        <w:rPr>
          <w:spacing w:val="-3"/>
          <w:highlight w:val="none"/>
        </w:rPr>
        <w:t>：</w:t>
      </w:r>
      <w:r>
        <w:rPr>
          <w:spacing w:val="-3"/>
          <w:highlight w:val="none"/>
          <w:u w:val="single"/>
        </w:rPr>
        <w:t xml:space="preserve"> </w:t>
      </w:r>
      <w:r>
        <w:rPr>
          <w:spacing w:val="-3"/>
          <w:highlight w:val="none"/>
          <w:u w:val="single"/>
        </w:rPr>
        <w:tab/>
      </w:r>
      <w:r>
        <w:rPr>
          <w:highlight w:val="none"/>
        </w:rPr>
        <w:t>（</w:t>
      </w:r>
      <w:r>
        <w:rPr>
          <w:spacing w:val="-3"/>
          <w:highlight w:val="none"/>
        </w:rPr>
        <w:t>签</w:t>
      </w:r>
      <w:r>
        <w:rPr>
          <w:highlight w:val="none"/>
        </w:rPr>
        <w:t>字）</w:t>
      </w:r>
    </w:p>
    <w:p>
      <w:pPr>
        <w:pStyle w:val="11"/>
        <w:spacing w:before="11"/>
        <w:rPr>
          <w:sz w:val="17"/>
          <w:highlight w:val="none"/>
        </w:rPr>
      </w:pPr>
    </w:p>
    <w:p>
      <w:pPr>
        <w:pStyle w:val="11"/>
        <w:tabs>
          <w:tab w:val="left" w:pos="5397"/>
          <w:tab w:val="left" w:pos="6343"/>
          <w:tab w:val="left" w:pos="7286"/>
        </w:tabs>
        <w:spacing w:before="71"/>
        <w:ind w:left="4661"/>
        <w:rPr>
          <w:highlight w:val="none"/>
        </w:rPr>
      </w:pPr>
      <w:r>
        <w:rPr>
          <w:rFonts w:ascii="Times New Roman" w:eastAsia="Times New Roman"/>
          <w:highlight w:val="none"/>
          <w:u w:val="single"/>
        </w:rPr>
        <w:t xml:space="preserve"> </w:t>
      </w:r>
      <w:r>
        <w:rPr>
          <w:rFonts w:ascii="Times New Roman" w:eastAsia="Times New Roman"/>
          <w:highlight w:val="none"/>
          <w:u w:val="single"/>
        </w:rPr>
        <w:tab/>
      </w:r>
      <w:r>
        <w:rPr>
          <w:highlight w:val="none"/>
        </w:rPr>
        <w:t>年</w:t>
      </w:r>
      <w:r>
        <w:rPr>
          <w:highlight w:val="none"/>
          <w:u w:val="single"/>
        </w:rPr>
        <w:t xml:space="preserve"> </w:t>
      </w:r>
      <w:r>
        <w:rPr>
          <w:highlight w:val="none"/>
          <w:u w:val="single"/>
        </w:rPr>
        <w:tab/>
      </w:r>
      <w:r>
        <w:rPr>
          <w:spacing w:val="-3"/>
          <w:highlight w:val="none"/>
        </w:rPr>
        <w:t>月</w:t>
      </w:r>
      <w:r>
        <w:rPr>
          <w:spacing w:val="-3"/>
          <w:highlight w:val="none"/>
          <w:u w:val="single"/>
        </w:rPr>
        <w:t xml:space="preserve"> </w:t>
      </w:r>
      <w:r>
        <w:rPr>
          <w:spacing w:val="-3"/>
          <w:highlight w:val="none"/>
          <w:u w:val="single"/>
        </w:rPr>
        <w:tab/>
      </w:r>
      <w:r>
        <w:rPr>
          <w:highlight w:val="none"/>
        </w:rPr>
        <w:t>日</w:t>
      </w:r>
    </w:p>
    <w:p>
      <w:pPr>
        <w:rPr>
          <w:highlight w:val="none"/>
        </w:rPr>
      </w:pPr>
      <w:r>
        <w:rPr>
          <w:highlight w:val="none"/>
        </w:rPr>
        <w:br w:type="page"/>
      </w:r>
    </w:p>
    <w:p>
      <w:pPr>
        <w:pStyle w:val="2"/>
        <w:sectPr>
          <w:pgSz w:w="12240" w:h="15840"/>
          <w:pgMar w:top="1500" w:right="1100" w:bottom="1120" w:left="1400" w:header="0" w:footer="841" w:gutter="0"/>
          <w:cols w:space="720" w:num="1"/>
        </w:sectPr>
      </w:pPr>
    </w:p>
    <w:p>
      <w:pPr>
        <w:pStyle w:val="5"/>
        <w:ind w:left="0" w:leftChars="0" w:firstLine="0" w:firstLineChars="0"/>
        <w:jc w:val="center"/>
        <w:rPr>
          <w:rFonts w:hint="eastAsia" w:ascii="Times New Roman" w:hAnsi="Times New Roman"/>
          <w:highlight w:val="none"/>
          <w:lang w:val="en-US" w:eastAsia="zh-CN"/>
        </w:rPr>
      </w:pPr>
      <w:bookmarkStart w:id="197" w:name="_bookmark136"/>
      <w:bookmarkEnd w:id="197"/>
      <w:bookmarkStart w:id="198" w:name="_Toc31633"/>
      <w:bookmarkStart w:id="199" w:name="_Toc167681277"/>
      <w:bookmarkStart w:id="200" w:name="_Toc166834535"/>
      <w:r>
        <w:rPr>
          <w:rFonts w:hint="eastAsia" w:ascii="Times New Roman" w:hAnsi="Times New Roman"/>
          <w:highlight w:val="none"/>
          <w:lang w:val="en-US" w:eastAsia="zh-CN"/>
        </w:rPr>
        <w:t>附件二：廉政协议书</w:t>
      </w:r>
      <w:bookmarkEnd w:id="198"/>
    </w:p>
    <w:p>
      <w:pPr>
        <w:rPr>
          <w:rFonts w:hint="eastAsia"/>
          <w:lang w:val="en-US" w:eastAsia="zh-CN"/>
        </w:rPr>
      </w:pPr>
    </w:p>
    <w:p>
      <w:pPr>
        <w:spacing w:line="360" w:lineRule="auto"/>
        <w:rPr>
          <w:bCs/>
          <w:color w:val="000000"/>
          <w:szCs w:val="21"/>
          <w:highlight w:val="none"/>
        </w:rPr>
      </w:pPr>
      <w:r>
        <w:rPr>
          <w:rFonts w:hint="eastAsia"/>
          <w:bCs/>
          <w:color w:val="000000"/>
          <w:szCs w:val="21"/>
          <w:highlight w:val="none"/>
        </w:rPr>
        <w:t xml:space="preserve">甲方：                                      </w:t>
      </w:r>
    </w:p>
    <w:p>
      <w:pPr>
        <w:spacing w:line="360" w:lineRule="auto"/>
        <w:rPr>
          <w:bCs/>
          <w:color w:val="000000"/>
          <w:szCs w:val="21"/>
          <w:highlight w:val="none"/>
        </w:rPr>
      </w:pPr>
      <w:r>
        <w:rPr>
          <w:rFonts w:hint="eastAsia"/>
          <w:bCs/>
          <w:color w:val="000000"/>
          <w:szCs w:val="21"/>
          <w:highlight w:val="none"/>
        </w:rPr>
        <w:t xml:space="preserve">乙方：                                                                                                                                                                                                                                                                                                                                                                                                                                                                                                                                                                                                                                                                                                                                                                                                                                                                                                                                                                                                                                                                                                                                                                                                                                                                                                                                                                                                                                                                                                                                                                                                                                                                                                                                                                                                  </w:t>
      </w:r>
    </w:p>
    <w:p>
      <w:pPr>
        <w:spacing w:line="360" w:lineRule="auto"/>
        <w:ind w:firstLine="440" w:firstLineChars="200"/>
        <w:rPr>
          <w:bCs/>
          <w:color w:val="000000"/>
          <w:szCs w:val="21"/>
          <w:highlight w:val="none"/>
        </w:rPr>
      </w:pPr>
      <w:r>
        <w:rPr>
          <w:rFonts w:hint="eastAsia"/>
          <w:bCs/>
          <w:color w:val="000000"/>
          <w:szCs w:val="21"/>
          <w:highlight w:val="none"/>
        </w:rPr>
        <w:t>为加强对</w:t>
      </w:r>
      <w:r>
        <w:rPr>
          <w:rFonts w:hint="eastAsia"/>
          <w:bCs/>
          <w:color w:val="000000"/>
          <w:szCs w:val="21"/>
          <w:highlight w:val="none"/>
          <w:lang w:val="en-US"/>
        </w:rPr>
        <w:t>贵州交投商贸物流有限公司</w:t>
      </w:r>
      <w:r>
        <w:rPr>
          <w:rFonts w:hint="eastAsia"/>
          <w:bCs/>
          <w:color w:val="000000"/>
          <w:szCs w:val="21"/>
          <w:highlight w:val="none"/>
        </w:rPr>
        <w:t>经济活动中的廉政建设和规范管理，防止发生谋取不正当利益的违法违纪行为，保护国家、集体和当事人合法权益，根据国家法律法规及</w:t>
      </w:r>
      <w:r>
        <w:rPr>
          <w:rFonts w:hint="eastAsia"/>
          <w:bCs/>
          <w:color w:val="000000"/>
          <w:szCs w:val="21"/>
          <w:highlight w:val="none"/>
          <w:lang w:val="en-US"/>
        </w:rPr>
        <w:t>运输</w:t>
      </w:r>
      <w:r>
        <w:rPr>
          <w:rFonts w:hint="eastAsia"/>
          <w:bCs/>
          <w:color w:val="000000"/>
          <w:szCs w:val="21"/>
          <w:highlight w:val="none"/>
        </w:rPr>
        <w:t>行业有关规定，订立本廉政合同。</w:t>
      </w:r>
    </w:p>
    <w:p>
      <w:pPr>
        <w:spacing w:line="360" w:lineRule="auto"/>
        <w:ind w:firstLine="440" w:firstLineChars="200"/>
        <w:rPr>
          <w:bCs/>
          <w:color w:val="000000"/>
          <w:szCs w:val="21"/>
          <w:highlight w:val="none"/>
        </w:rPr>
      </w:pPr>
      <w:r>
        <w:rPr>
          <w:rFonts w:hint="eastAsia"/>
          <w:bCs/>
          <w:color w:val="000000"/>
          <w:szCs w:val="21"/>
          <w:highlight w:val="none"/>
        </w:rPr>
        <w:t>一、甲、乙双方责任：</w:t>
      </w:r>
    </w:p>
    <w:p>
      <w:pPr>
        <w:spacing w:line="360" w:lineRule="auto"/>
        <w:ind w:firstLine="440" w:firstLineChars="200"/>
        <w:rPr>
          <w:bCs/>
          <w:color w:val="000000"/>
          <w:szCs w:val="21"/>
          <w:highlight w:val="none"/>
        </w:rPr>
      </w:pPr>
      <w:r>
        <w:rPr>
          <w:rFonts w:hint="eastAsia"/>
          <w:bCs/>
          <w:color w:val="000000"/>
          <w:szCs w:val="21"/>
          <w:highlight w:val="none"/>
        </w:rPr>
        <w:t>（一）严格遵守国家、地方和</w:t>
      </w:r>
      <w:r>
        <w:rPr>
          <w:rFonts w:hint="eastAsia"/>
          <w:bCs/>
          <w:color w:val="000000"/>
          <w:szCs w:val="21"/>
          <w:highlight w:val="none"/>
          <w:lang w:val="en-US"/>
        </w:rPr>
        <w:t>运输</w:t>
      </w:r>
      <w:r>
        <w:rPr>
          <w:rFonts w:hint="eastAsia"/>
          <w:bCs/>
          <w:color w:val="000000"/>
          <w:szCs w:val="21"/>
          <w:highlight w:val="none"/>
        </w:rPr>
        <w:t>行业有关法律、法规和相关政策以及廉洁从业各项要求。</w:t>
      </w:r>
    </w:p>
    <w:p>
      <w:pPr>
        <w:spacing w:line="360" w:lineRule="auto"/>
        <w:ind w:firstLine="440" w:firstLineChars="200"/>
        <w:rPr>
          <w:bCs/>
          <w:color w:val="000000"/>
          <w:szCs w:val="21"/>
          <w:highlight w:val="none"/>
        </w:rPr>
      </w:pPr>
      <w:r>
        <w:rPr>
          <w:rFonts w:hint="eastAsia"/>
          <w:bCs/>
          <w:color w:val="000000"/>
          <w:szCs w:val="21"/>
          <w:highlight w:val="none"/>
        </w:rPr>
        <w:t>（二）严格执行项目经济合同。</w:t>
      </w:r>
    </w:p>
    <w:p>
      <w:pPr>
        <w:spacing w:line="360" w:lineRule="auto"/>
        <w:ind w:firstLine="440" w:firstLineChars="200"/>
        <w:rPr>
          <w:bCs/>
          <w:color w:val="000000"/>
          <w:szCs w:val="21"/>
          <w:highlight w:val="none"/>
        </w:rPr>
      </w:pPr>
      <w:r>
        <w:rPr>
          <w:rFonts w:hint="eastAsia"/>
          <w:bCs/>
          <w:color w:val="000000"/>
          <w:szCs w:val="21"/>
          <w:highlight w:val="none"/>
        </w:rPr>
        <w:t>（三）经济活动中必须坚持公开、公平、公正、诚实守信的原则，不得采取任何违法违纪行为损害国家、集体利益和当事人合法权益。</w:t>
      </w:r>
    </w:p>
    <w:p>
      <w:pPr>
        <w:spacing w:line="360" w:lineRule="auto"/>
        <w:ind w:firstLine="440" w:firstLineChars="200"/>
        <w:rPr>
          <w:bCs/>
          <w:color w:val="000000"/>
          <w:szCs w:val="21"/>
          <w:highlight w:val="none"/>
        </w:rPr>
      </w:pPr>
      <w:r>
        <w:rPr>
          <w:rFonts w:hint="eastAsia"/>
          <w:bCs/>
          <w:color w:val="000000"/>
          <w:szCs w:val="21"/>
          <w:highlight w:val="none"/>
        </w:rPr>
        <w:t>（四）发现对方在经济合同签订和履行过程中有违规、违纪、违法行为的，应向其纪检监察、上级主管部门及司法机关等举报。</w:t>
      </w:r>
    </w:p>
    <w:p>
      <w:pPr>
        <w:spacing w:line="360" w:lineRule="auto"/>
        <w:ind w:firstLine="440" w:firstLineChars="200"/>
        <w:rPr>
          <w:bCs/>
          <w:color w:val="000000"/>
          <w:szCs w:val="21"/>
          <w:highlight w:val="none"/>
        </w:rPr>
      </w:pPr>
      <w:r>
        <w:rPr>
          <w:rFonts w:hint="eastAsia"/>
          <w:bCs/>
          <w:color w:val="000000"/>
          <w:szCs w:val="21"/>
          <w:highlight w:val="none"/>
        </w:rPr>
        <w:t>二、甲方责任：</w:t>
      </w:r>
    </w:p>
    <w:p>
      <w:pPr>
        <w:spacing w:line="360" w:lineRule="auto"/>
        <w:ind w:firstLine="440" w:firstLineChars="200"/>
        <w:rPr>
          <w:bCs/>
          <w:color w:val="000000"/>
          <w:szCs w:val="21"/>
          <w:highlight w:val="none"/>
        </w:rPr>
      </w:pPr>
      <w:r>
        <w:rPr>
          <w:rFonts w:hint="eastAsia"/>
          <w:bCs/>
          <w:color w:val="000000"/>
          <w:szCs w:val="21"/>
          <w:highlight w:val="none"/>
        </w:rPr>
        <w:t>甲方人员在经济合同签订和履行过程中应按照有关法律法规和程序开展工作，并严格遵守以下规定：</w:t>
      </w:r>
    </w:p>
    <w:p>
      <w:pPr>
        <w:spacing w:line="360" w:lineRule="auto"/>
        <w:ind w:firstLine="440" w:firstLineChars="200"/>
        <w:rPr>
          <w:bCs/>
          <w:color w:val="000000"/>
          <w:szCs w:val="21"/>
          <w:highlight w:val="none"/>
        </w:rPr>
      </w:pPr>
      <w:r>
        <w:rPr>
          <w:rFonts w:hint="eastAsia"/>
          <w:bCs/>
          <w:color w:val="000000"/>
          <w:szCs w:val="21"/>
          <w:highlight w:val="none"/>
        </w:rPr>
        <w:t>（一）不准向乙方或乙方的相关方索要或接受回扣、现金、有价证券、贵重物品、挂职工资、津贴、好处费、感谢费等。</w:t>
      </w:r>
    </w:p>
    <w:p>
      <w:pPr>
        <w:spacing w:line="360" w:lineRule="auto"/>
        <w:ind w:firstLine="440" w:firstLineChars="200"/>
        <w:rPr>
          <w:bCs/>
          <w:color w:val="000000"/>
          <w:szCs w:val="21"/>
          <w:highlight w:val="none"/>
        </w:rPr>
      </w:pPr>
      <w:r>
        <w:rPr>
          <w:rFonts w:hint="eastAsia"/>
          <w:bCs/>
          <w:color w:val="000000"/>
          <w:szCs w:val="21"/>
          <w:highlight w:val="none"/>
        </w:rPr>
        <w:t>（二）不准在乙方和乙方的相关方报销任何应由甲方或甲方人员个人支付的费用。</w:t>
      </w:r>
    </w:p>
    <w:p>
      <w:pPr>
        <w:spacing w:line="360" w:lineRule="auto"/>
        <w:ind w:firstLine="440" w:firstLineChars="200"/>
        <w:rPr>
          <w:bCs/>
          <w:color w:val="000000"/>
          <w:szCs w:val="21"/>
          <w:highlight w:val="none"/>
        </w:rPr>
      </w:pPr>
      <w:r>
        <w:rPr>
          <w:rFonts w:hint="eastAsia"/>
          <w:bCs/>
          <w:color w:val="000000"/>
          <w:szCs w:val="21"/>
          <w:highlight w:val="none"/>
        </w:rPr>
        <w:t>（三）不准要求、暗示和接受乙方或乙方的相关方为个人装修住房、安排婚丧嫁娶活动及为其配偶、子女、亲属及其他利害关系人安排工作以及出国（境）、旅游等提供方便。</w:t>
      </w:r>
    </w:p>
    <w:p>
      <w:pPr>
        <w:spacing w:line="360" w:lineRule="auto"/>
        <w:ind w:firstLine="440" w:firstLineChars="200"/>
        <w:rPr>
          <w:bCs/>
          <w:color w:val="000000"/>
          <w:szCs w:val="21"/>
          <w:highlight w:val="none"/>
        </w:rPr>
      </w:pPr>
      <w:r>
        <w:rPr>
          <w:rFonts w:hint="eastAsia"/>
          <w:bCs/>
          <w:color w:val="000000"/>
          <w:szCs w:val="21"/>
          <w:highlight w:val="none"/>
        </w:rPr>
        <w:t>（四）不准参加乙方或乙方的相关方组织的宴请、娱乐和赌博等活动。</w:t>
      </w:r>
    </w:p>
    <w:p>
      <w:pPr>
        <w:spacing w:line="360" w:lineRule="auto"/>
        <w:ind w:firstLine="440" w:firstLineChars="200"/>
        <w:rPr>
          <w:bCs/>
          <w:color w:val="000000"/>
          <w:szCs w:val="21"/>
          <w:highlight w:val="none"/>
        </w:rPr>
      </w:pPr>
      <w:r>
        <w:rPr>
          <w:rFonts w:hint="eastAsia"/>
          <w:bCs/>
          <w:color w:val="000000"/>
          <w:szCs w:val="21"/>
          <w:highlight w:val="none"/>
        </w:rPr>
        <w:t>（五）不准与乙方或乙方的相关方串通，谋取不正当利益。</w:t>
      </w:r>
    </w:p>
    <w:p>
      <w:pPr>
        <w:spacing w:line="360" w:lineRule="auto"/>
        <w:ind w:firstLine="440" w:firstLineChars="200"/>
        <w:rPr>
          <w:bCs/>
          <w:color w:val="000000"/>
          <w:szCs w:val="21"/>
          <w:highlight w:val="none"/>
        </w:rPr>
      </w:pPr>
      <w:r>
        <w:rPr>
          <w:rFonts w:hint="eastAsia"/>
          <w:bCs/>
          <w:color w:val="000000"/>
          <w:szCs w:val="21"/>
          <w:highlight w:val="none"/>
        </w:rPr>
        <w:t>（六）不准让配偶、子女、亲属及其他利害关系人参与乙方或乙方的相关方的业务活动，谋取不正当利益。</w:t>
      </w:r>
    </w:p>
    <w:p>
      <w:pPr>
        <w:spacing w:line="360" w:lineRule="auto"/>
        <w:ind w:firstLine="440" w:firstLineChars="200"/>
        <w:rPr>
          <w:bCs/>
          <w:color w:val="000000"/>
          <w:szCs w:val="21"/>
          <w:highlight w:val="none"/>
        </w:rPr>
      </w:pPr>
      <w:r>
        <w:rPr>
          <w:rFonts w:hint="eastAsia"/>
          <w:bCs/>
          <w:color w:val="000000"/>
          <w:szCs w:val="21"/>
          <w:highlight w:val="none"/>
        </w:rPr>
        <w:t xml:space="preserve"> (七)不准违反廉洁从业其他相关规定。</w:t>
      </w:r>
    </w:p>
    <w:p>
      <w:pPr>
        <w:spacing w:line="360" w:lineRule="auto"/>
        <w:ind w:firstLine="440" w:firstLineChars="200"/>
        <w:rPr>
          <w:bCs/>
          <w:color w:val="000000"/>
          <w:szCs w:val="21"/>
          <w:highlight w:val="none"/>
        </w:rPr>
      </w:pPr>
      <w:r>
        <w:rPr>
          <w:rFonts w:hint="eastAsia"/>
          <w:bCs/>
          <w:color w:val="000000"/>
          <w:szCs w:val="21"/>
          <w:highlight w:val="none"/>
        </w:rPr>
        <w:t>三、乙方责任：</w:t>
      </w:r>
    </w:p>
    <w:p>
      <w:pPr>
        <w:spacing w:line="360" w:lineRule="auto"/>
        <w:ind w:firstLine="440" w:firstLineChars="200"/>
        <w:rPr>
          <w:bCs/>
          <w:color w:val="000000"/>
          <w:szCs w:val="21"/>
          <w:highlight w:val="none"/>
        </w:rPr>
      </w:pPr>
      <w:r>
        <w:rPr>
          <w:rFonts w:hint="eastAsia"/>
          <w:bCs/>
          <w:color w:val="000000"/>
          <w:szCs w:val="21"/>
          <w:highlight w:val="none"/>
        </w:rPr>
        <w:t>乙方(含乙方的相关方)应与甲方保持正常的业务往来，按照有关法律法规和程序开展业务工作，并严格遵守以下规定：</w:t>
      </w:r>
    </w:p>
    <w:p>
      <w:pPr>
        <w:spacing w:line="360" w:lineRule="auto"/>
        <w:ind w:firstLine="440" w:firstLineChars="200"/>
        <w:rPr>
          <w:bCs/>
          <w:color w:val="000000"/>
          <w:szCs w:val="21"/>
          <w:highlight w:val="none"/>
        </w:rPr>
      </w:pPr>
      <w:r>
        <w:rPr>
          <w:rFonts w:hint="eastAsia"/>
          <w:bCs/>
          <w:color w:val="000000"/>
          <w:szCs w:val="21"/>
          <w:highlight w:val="none"/>
        </w:rPr>
        <w:t>（一）不准以任何理由向甲方的工作人员及其亲属赠送或提供回扣、现金、有价证券、贵重物品、挂职工资、津贴、好处费、感谢费等。</w:t>
      </w:r>
    </w:p>
    <w:p>
      <w:pPr>
        <w:spacing w:line="360" w:lineRule="auto"/>
        <w:ind w:firstLine="440" w:firstLineChars="200"/>
        <w:rPr>
          <w:bCs/>
          <w:color w:val="000000"/>
          <w:szCs w:val="21"/>
          <w:highlight w:val="none"/>
        </w:rPr>
      </w:pPr>
      <w:r>
        <w:rPr>
          <w:rFonts w:hint="eastAsia"/>
          <w:bCs/>
          <w:color w:val="000000"/>
          <w:szCs w:val="21"/>
          <w:highlight w:val="none"/>
        </w:rPr>
        <w:t>（二）不准以任何名义为甲方或甲方工作人员及其利害关系人报销应由甲方或个人支付的费用。</w:t>
      </w:r>
    </w:p>
    <w:p>
      <w:pPr>
        <w:spacing w:line="360" w:lineRule="auto"/>
        <w:ind w:firstLine="440" w:firstLineChars="200"/>
        <w:rPr>
          <w:bCs/>
          <w:color w:val="000000"/>
          <w:szCs w:val="21"/>
          <w:highlight w:val="none"/>
        </w:rPr>
      </w:pPr>
      <w:r>
        <w:rPr>
          <w:rFonts w:hint="eastAsia"/>
          <w:bCs/>
          <w:color w:val="000000"/>
          <w:szCs w:val="21"/>
          <w:highlight w:val="none"/>
        </w:rPr>
        <w:t>（三）不准为甲方的工作人员及其亲属装修住房、安排婚丧嫁娶活动或为甲方的配偶、子女、亲属和其他利害关系人安排工作以及为其出国（境）、旅游等提供方便。</w:t>
      </w:r>
    </w:p>
    <w:p>
      <w:pPr>
        <w:spacing w:line="360" w:lineRule="auto"/>
        <w:ind w:firstLine="440" w:firstLineChars="200"/>
        <w:rPr>
          <w:bCs/>
          <w:color w:val="000000"/>
          <w:szCs w:val="21"/>
          <w:highlight w:val="none"/>
        </w:rPr>
      </w:pPr>
      <w:r>
        <w:rPr>
          <w:rFonts w:hint="eastAsia"/>
          <w:bCs/>
          <w:color w:val="000000"/>
          <w:szCs w:val="21"/>
          <w:highlight w:val="none"/>
        </w:rPr>
        <w:t>（四）不准以任何理由为甲方的工作人员及其亲属和其利害关系人组织宴请、娱乐和赌博等活动。</w:t>
      </w:r>
    </w:p>
    <w:p>
      <w:pPr>
        <w:spacing w:line="360" w:lineRule="auto"/>
        <w:ind w:firstLine="440" w:firstLineChars="200"/>
        <w:rPr>
          <w:bCs/>
          <w:color w:val="000000"/>
          <w:szCs w:val="21"/>
          <w:highlight w:val="none"/>
        </w:rPr>
      </w:pPr>
      <w:r>
        <w:rPr>
          <w:rFonts w:hint="eastAsia"/>
          <w:bCs/>
          <w:color w:val="000000"/>
          <w:szCs w:val="21"/>
          <w:highlight w:val="none"/>
        </w:rPr>
        <w:t>（五）不准与甲方的工作人员串通，谋取不正当利益。</w:t>
      </w:r>
    </w:p>
    <w:p>
      <w:pPr>
        <w:spacing w:line="360" w:lineRule="auto"/>
        <w:ind w:firstLine="440" w:firstLineChars="200"/>
        <w:rPr>
          <w:bCs/>
          <w:color w:val="000000"/>
          <w:szCs w:val="21"/>
          <w:highlight w:val="none"/>
        </w:rPr>
      </w:pPr>
      <w:r>
        <w:rPr>
          <w:rFonts w:hint="eastAsia"/>
          <w:bCs/>
          <w:color w:val="000000"/>
          <w:szCs w:val="21"/>
          <w:highlight w:val="none"/>
        </w:rPr>
        <w:t>（六）不准与甲方的工作人员及其配偶、子女、亲属和其他利害关系人开展业务活动，谋取不正当利益。</w:t>
      </w:r>
    </w:p>
    <w:p>
      <w:pPr>
        <w:spacing w:line="360" w:lineRule="auto"/>
        <w:ind w:firstLine="440" w:firstLineChars="200"/>
        <w:rPr>
          <w:bCs/>
          <w:color w:val="000000"/>
          <w:szCs w:val="21"/>
          <w:highlight w:val="none"/>
        </w:rPr>
      </w:pPr>
      <w:r>
        <w:rPr>
          <w:rFonts w:hint="eastAsia"/>
          <w:bCs/>
          <w:color w:val="000000"/>
          <w:szCs w:val="21"/>
          <w:highlight w:val="none"/>
        </w:rPr>
        <w:t>四、责任追究：</w:t>
      </w:r>
    </w:p>
    <w:p>
      <w:pPr>
        <w:spacing w:line="360" w:lineRule="auto"/>
        <w:ind w:firstLine="440" w:firstLineChars="200"/>
        <w:rPr>
          <w:bCs/>
          <w:color w:val="000000"/>
          <w:szCs w:val="21"/>
          <w:highlight w:val="none"/>
        </w:rPr>
      </w:pPr>
      <w:r>
        <w:rPr>
          <w:rFonts w:hint="eastAsia"/>
          <w:bCs/>
          <w:color w:val="000000"/>
          <w:szCs w:val="21"/>
          <w:highlight w:val="none"/>
        </w:rPr>
        <w:t>（一）甲方的工作人员有违反本合同规定的，由纪检监察部门按照干部（职工）管理权限，依据国家和行业有关规定给予组织处理或党纪、政纪处分；涉嫌犯罪的，移交司法机关依法追究法律责任；给乙方单位造成经济损失的，应予以赔偿。</w:t>
      </w:r>
    </w:p>
    <w:p>
      <w:pPr>
        <w:spacing w:line="360" w:lineRule="auto"/>
        <w:ind w:firstLine="440" w:firstLineChars="200"/>
        <w:rPr>
          <w:bCs/>
          <w:color w:val="000000"/>
          <w:szCs w:val="21"/>
          <w:highlight w:val="none"/>
        </w:rPr>
      </w:pPr>
      <w:r>
        <w:rPr>
          <w:rFonts w:hint="eastAsia"/>
          <w:bCs/>
          <w:color w:val="000000"/>
          <w:szCs w:val="21"/>
          <w:highlight w:val="none"/>
        </w:rPr>
        <w:t>（二）乙方或乙方的工作人员有违反本合同规定的，甲方有权视情节轻重终止或解除经济合同并追究其违约责任，给甲方造成经济损失的，应予以赔偿，同时，将永久性的取消乙方参与甲方工程、物资和服务采购项目的资格。涉嫌犯罪的，甲方将向项目所在地司法机关报案，追究乙方及乙方相关人员的法律责任。</w:t>
      </w:r>
    </w:p>
    <w:p>
      <w:pPr>
        <w:spacing w:line="360" w:lineRule="auto"/>
        <w:ind w:firstLine="440" w:firstLineChars="200"/>
        <w:rPr>
          <w:bCs/>
          <w:color w:val="000000"/>
          <w:szCs w:val="21"/>
          <w:highlight w:val="none"/>
        </w:rPr>
      </w:pPr>
      <w:r>
        <w:rPr>
          <w:rFonts w:hint="eastAsia"/>
          <w:bCs/>
          <w:color w:val="000000"/>
          <w:szCs w:val="21"/>
          <w:highlight w:val="none"/>
        </w:rPr>
        <w:t xml:space="preserve">    五、附则：　　</w:t>
      </w:r>
    </w:p>
    <w:p>
      <w:pPr>
        <w:spacing w:line="360" w:lineRule="auto"/>
        <w:ind w:firstLine="440" w:firstLineChars="200"/>
        <w:rPr>
          <w:bCs/>
          <w:color w:val="000000"/>
          <w:szCs w:val="21"/>
          <w:highlight w:val="none"/>
        </w:rPr>
      </w:pPr>
      <w:r>
        <w:rPr>
          <w:rFonts w:hint="eastAsia"/>
          <w:bCs/>
          <w:color w:val="000000"/>
          <w:szCs w:val="21"/>
          <w:highlight w:val="none"/>
        </w:rPr>
        <w:t>（一）本合同作为经济合同的补充条款，具有同等法律效力，经双方签署后立即生效。</w:t>
      </w:r>
    </w:p>
    <w:p>
      <w:pPr>
        <w:spacing w:line="360" w:lineRule="auto"/>
        <w:ind w:firstLine="440" w:firstLineChars="200"/>
        <w:rPr>
          <w:bCs/>
          <w:color w:val="000000"/>
          <w:szCs w:val="21"/>
          <w:highlight w:val="none"/>
        </w:rPr>
      </w:pPr>
      <w:r>
        <w:rPr>
          <w:rFonts w:hint="eastAsia"/>
          <w:bCs/>
          <w:color w:val="000000"/>
          <w:szCs w:val="21"/>
          <w:highlight w:val="none"/>
        </w:rPr>
        <w:t>（二）凡未签订廉政合同的项目，公司（企业）领导不予审批，审计部门不予审核，财务部门不予拨款。</w:t>
      </w:r>
    </w:p>
    <w:p>
      <w:pPr>
        <w:spacing w:line="360" w:lineRule="auto"/>
        <w:ind w:firstLine="440" w:firstLineChars="200"/>
        <w:rPr>
          <w:bCs/>
          <w:color w:val="000000"/>
          <w:szCs w:val="21"/>
          <w:highlight w:val="none"/>
        </w:rPr>
      </w:pPr>
      <w:r>
        <w:rPr>
          <w:rFonts w:hint="eastAsia"/>
          <w:bCs/>
          <w:color w:val="000000"/>
          <w:szCs w:val="21"/>
          <w:highlight w:val="none"/>
        </w:rPr>
        <w:t>本合同与经济合同一同归档备查。</w:t>
      </w:r>
    </w:p>
    <w:p>
      <w:pPr>
        <w:spacing w:line="360" w:lineRule="auto"/>
        <w:ind w:firstLine="440" w:firstLineChars="200"/>
        <w:rPr>
          <w:bCs/>
          <w:color w:val="000000"/>
          <w:szCs w:val="21"/>
          <w:highlight w:val="none"/>
        </w:rPr>
      </w:pPr>
      <w:r>
        <w:rPr>
          <w:rFonts w:hint="eastAsia"/>
          <w:bCs/>
          <w:color w:val="000000"/>
          <w:szCs w:val="21"/>
          <w:highlight w:val="none"/>
        </w:rPr>
        <w:t>甲方（盖章）：                        乙方（盖章）</w:t>
      </w:r>
    </w:p>
    <w:p>
      <w:pPr>
        <w:spacing w:line="360" w:lineRule="auto"/>
        <w:ind w:firstLine="440" w:firstLineChars="200"/>
        <w:rPr>
          <w:bCs/>
          <w:color w:val="000000"/>
          <w:szCs w:val="21"/>
          <w:highlight w:val="none"/>
        </w:rPr>
      </w:pPr>
      <w:r>
        <w:rPr>
          <w:rFonts w:hint="eastAsia"/>
          <w:bCs/>
          <w:color w:val="000000"/>
          <w:szCs w:val="21"/>
          <w:highlight w:val="none"/>
        </w:rPr>
        <w:t>法定（授权）代表人：                  法定（授权）代表人：</w:t>
      </w:r>
    </w:p>
    <w:p>
      <w:pPr>
        <w:spacing w:line="360" w:lineRule="auto"/>
        <w:ind w:firstLine="440" w:firstLineChars="200"/>
        <w:rPr>
          <w:bCs/>
          <w:color w:val="000000"/>
          <w:szCs w:val="21"/>
          <w:highlight w:val="none"/>
        </w:rPr>
      </w:pPr>
    </w:p>
    <w:p>
      <w:pPr>
        <w:spacing w:line="360" w:lineRule="auto"/>
        <w:ind w:firstLine="440" w:firstLineChars="200"/>
        <w:rPr>
          <w:bCs/>
          <w:color w:val="000000"/>
          <w:szCs w:val="21"/>
          <w:highlight w:val="none"/>
        </w:rPr>
      </w:pPr>
      <w:r>
        <w:rPr>
          <w:rFonts w:hint="eastAsia"/>
          <w:bCs/>
          <w:color w:val="000000"/>
          <w:szCs w:val="21"/>
          <w:highlight w:val="none"/>
        </w:rPr>
        <w:t>地</w:t>
      </w:r>
      <w:r>
        <w:rPr>
          <w:rFonts w:hint="eastAsia"/>
          <w:bCs/>
          <w:color w:val="000000"/>
          <w:szCs w:val="21"/>
          <w:highlight w:val="none"/>
          <w:lang w:val="en-US"/>
        </w:rPr>
        <w:t xml:space="preserve">     </w:t>
      </w:r>
      <w:r>
        <w:rPr>
          <w:rFonts w:hint="eastAsia"/>
          <w:bCs/>
          <w:color w:val="000000"/>
          <w:szCs w:val="21"/>
          <w:highlight w:val="none"/>
        </w:rPr>
        <w:t xml:space="preserve"> 址：                          地      址：</w:t>
      </w:r>
    </w:p>
    <w:p>
      <w:pPr>
        <w:spacing w:line="360" w:lineRule="auto"/>
        <w:ind w:firstLine="440" w:firstLineChars="200"/>
        <w:rPr>
          <w:bCs/>
          <w:color w:val="000000"/>
          <w:szCs w:val="21"/>
          <w:highlight w:val="none"/>
        </w:rPr>
      </w:pPr>
      <w:r>
        <w:rPr>
          <w:rFonts w:hint="eastAsia"/>
          <w:bCs/>
          <w:color w:val="000000"/>
          <w:szCs w:val="21"/>
          <w:highlight w:val="none"/>
        </w:rPr>
        <w:t>电      话：　　　                    电      话：</w:t>
      </w:r>
    </w:p>
    <w:p>
      <w:pPr>
        <w:tabs>
          <w:tab w:val="left" w:pos="602"/>
        </w:tabs>
        <w:spacing w:line="360" w:lineRule="auto"/>
        <w:ind w:firstLine="440" w:firstLineChars="200"/>
        <w:jc w:val="both"/>
        <w:rPr>
          <w:rFonts w:ascii="仿宋" w:hAnsi="仿宋" w:eastAsia="仿宋"/>
          <w:bCs/>
          <w:color w:val="000000"/>
          <w:sz w:val="32"/>
          <w:szCs w:val="32"/>
          <w:highlight w:val="none"/>
        </w:rPr>
      </w:pPr>
      <w:r>
        <w:rPr>
          <w:rFonts w:hint="eastAsia"/>
          <w:bCs/>
          <w:color w:val="000000"/>
          <w:szCs w:val="21"/>
          <w:highlight w:val="none"/>
        </w:rPr>
        <w:t xml:space="preserve">年　  月　  日　　　　　 　         </w:t>
      </w:r>
      <w:r>
        <w:rPr>
          <w:rFonts w:hint="eastAsia"/>
          <w:bCs/>
          <w:color w:val="000000"/>
          <w:szCs w:val="21"/>
          <w:highlight w:val="none"/>
          <w:lang w:val="en-US"/>
        </w:rPr>
        <w:t xml:space="preserve"> </w:t>
      </w:r>
      <w:r>
        <w:rPr>
          <w:rFonts w:hint="eastAsia"/>
          <w:bCs/>
          <w:color w:val="000000"/>
          <w:szCs w:val="21"/>
          <w:highlight w:val="none"/>
        </w:rPr>
        <w:t xml:space="preserve"> 年   　月　  日</w:t>
      </w:r>
      <w:r>
        <w:rPr>
          <w:rFonts w:hint="eastAsia" w:ascii="仿宋" w:hAnsi="仿宋" w:eastAsia="仿宋"/>
          <w:bCs/>
          <w:color w:val="000000"/>
          <w:sz w:val="32"/>
          <w:szCs w:val="32"/>
          <w:highlight w:val="none"/>
        </w:rPr>
        <w:t xml:space="preserve"> </w:t>
      </w:r>
      <w:bookmarkEnd w:id="199"/>
      <w:bookmarkEnd w:id="200"/>
    </w:p>
    <w:p>
      <w:pPr>
        <w:pStyle w:val="4"/>
        <w:spacing w:beforeLines="100"/>
        <w:ind w:left="0" w:firstLine="0"/>
        <w:rPr>
          <w:highlight w:val="none"/>
        </w:rPr>
      </w:pPr>
      <w:r>
        <w:rPr>
          <w:rFonts w:ascii="仿宋" w:hAnsi="仿宋" w:eastAsia="仿宋"/>
          <w:color w:val="000000"/>
          <w:highlight w:val="none"/>
        </w:rPr>
        <w:br w:type="page"/>
      </w:r>
      <w:bookmarkStart w:id="201" w:name="_Toc499298908"/>
      <w:bookmarkStart w:id="202" w:name="_Toc2497"/>
      <w:r>
        <w:rPr>
          <w:rFonts w:hint="eastAsia" w:ascii="仿宋" w:hAnsi="仿宋" w:eastAsia="仿宋"/>
          <w:color w:val="000000"/>
          <w:highlight w:val="none"/>
          <w:lang w:val="en-US"/>
        </w:rPr>
        <w:t xml:space="preserve">   </w:t>
      </w:r>
      <w:r>
        <w:rPr>
          <w:rFonts w:hint="eastAsia" w:ascii="Times New Roman" w:hAnsi="Times New Roman" w:eastAsia="宋体" w:cs="宋体"/>
          <w:b w:val="0"/>
          <w:bCs w:val="0"/>
          <w:sz w:val="28"/>
          <w:szCs w:val="28"/>
          <w:highlight w:val="none"/>
          <w:lang w:val="en-US" w:eastAsia="zh-CN" w:bidi="zh-CN"/>
        </w:rPr>
        <w:t xml:space="preserve"> </w:t>
      </w:r>
      <w:bookmarkStart w:id="203" w:name="_Toc22460"/>
      <w:r>
        <w:rPr>
          <w:rFonts w:hint="eastAsia" w:ascii="Times New Roman" w:hAnsi="Times New Roman" w:eastAsia="宋体" w:cs="宋体"/>
          <w:b w:val="0"/>
          <w:bCs w:val="0"/>
          <w:sz w:val="28"/>
          <w:szCs w:val="28"/>
          <w:highlight w:val="none"/>
          <w:lang w:val="en-US" w:eastAsia="zh-CN" w:bidi="zh-CN"/>
        </w:rPr>
        <w:t>附件三：物流服务安全责任协议书</w:t>
      </w:r>
      <w:bookmarkEnd w:id="203"/>
    </w:p>
    <w:bookmarkEnd w:id="201"/>
    <w:bookmarkEnd w:id="202"/>
    <w:p>
      <w:pPr>
        <w:pStyle w:val="33"/>
        <w:spacing w:line="360" w:lineRule="auto"/>
        <w:rPr>
          <w:color w:val="000000"/>
          <w:highlight w:val="none"/>
        </w:rPr>
      </w:pPr>
    </w:p>
    <w:p>
      <w:pPr>
        <w:pStyle w:val="33"/>
        <w:spacing w:line="360" w:lineRule="auto"/>
        <w:rPr>
          <w:bCs/>
          <w:color w:val="000000"/>
          <w:highlight w:val="none"/>
        </w:rPr>
      </w:pPr>
      <w:r>
        <w:rPr>
          <w:rFonts w:hint="eastAsia"/>
          <w:bCs/>
          <w:color w:val="000000"/>
          <w:highlight w:val="none"/>
        </w:rPr>
        <w:t>甲方：</w:t>
      </w:r>
      <w:r>
        <w:rPr>
          <w:rFonts w:hint="eastAsia"/>
          <w:bCs/>
          <w:color w:val="000000"/>
          <w:highlight w:val="none"/>
          <w:u w:val="single"/>
        </w:rPr>
        <w:t>贵州交投商贸物流有限公司</w:t>
      </w:r>
    </w:p>
    <w:p>
      <w:pPr>
        <w:pStyle w:val="33"/>
        <w:spacing w:line="360" w:lineRule="auto"/>
        <w:rPr>
          <w:color w:val="000000"/>
          <w:highlight w:val="none"/>
        </w:rPr>
      </w:pPr>
      <w:r>
        <w:rPr>
          <w:rFonts w:hint="eastAsia"/>
          <w:bCs/>
          <w:color w:val="000000"/>
          <w:highlight w:val="none"/>
        </w:rPr>
        <w:t>乙方：</w:t>
      </w:r>
      <w:r>
        <w:rPr>
          <w:rFonts w:hint="eastAsia"/>
          <w:color w:val="000000"/>
          <w:highlight w:val="none"/>
          <w:u w:val="single"/>
        </w:rPr>
        <w:t xml:space="preserve"> </w:t>
      </w:r>
      <w:r>
        <w:rPr>
          <w:color w:val="000000"/>
          <w:highlight w:val="none"/>
          <w:u w:val="single"/>
        </w:rPr>
        <w:t xml:space="preserve">                    </w:t>
      </w:r>
      <w:r>
        <w:rPr>
          <w:rFonts w:hint="eastAsia"/>
          <w:color w:val="000000"/>
          <w:highlight w:val="none"/>
          <w:u w:val="single"/>
        </w:rPr>
        <w:t xml:space="preserve">    </w:t>
      </w:r>
      <w:r>
        <w:rPr>
          <w:color w:val="000000"/>
          <w:highlight w:val="none"/>
          <w:u w:val="single"/>
        </w:rPr>
        <w:t xml:space="preserve">   </w:t>
      </w:r>
    </w:p>
    <w:p>
      <w:pPr>
        <w:pStyle w:val="33"/>
        <w:spacing w:line="360" w:lineRule="auto"/>
        <w:rPr>
          <w:color w:val="000000"/>
          <w:highlight w:val="none"/>
        </w:rPr>
      </w:pPr>
    </w:p>
    <w:p>
      <w:pPr>
        <w:pStyle w:val="33"/>
        <w:spacing w:line="360" w:lineRule="auto"/>
        <w:ind w:firstLine="420" w:firstLineChars="200"/>
        <w:rPr>
          <w:color w:val="000000"/>
          <w:highlight w:val="none"/>
        </w:rPr>
      </w:pPr>
      <w:r>
        <w:rPr>
          <w:rFonts w:hint="eastAsia"/>
          <w:color w:val="000000"/>
          <w:highlight w:val="none"/>
        </w:rPr>
        <w:t>为贯彻“安全第一，预防为主，综合治理”的方针，明确双方的安全责任，确保安全运行，根据国家有关法律法规，经双方协商一致签订本协议。</w:t>
      </w:r>
    </w:p>
    <w:p>
      <w:pPr>
        <w:pStyle w:val="33"/>
        <w:numPr>
          <w:ilvl w:val="0"/>
          <w:numId w:val="20"/>
        </w:numPr>
        <w:spacing w:line="360" w:lineRule="auto"/>
        <w:ind w:firstLine="420" w:firstLineChars="200"/>
        <w:rPr>
          <w:color w:val="000000"/>
          <w:highlight w:val="none"/>
        </w:rPr>
      </w:pPr>
      <w:r>
        <w:rPr>
          <w:rFonts w:hint="eastAsia"/>
          <w:color w:val="000000"/>
          <w:highlight w:val="none"/>
        </w:rPr>
        <w:t>物流服务项目：</w:t>
      </w:r>
      <w:r>
        <w:rPr>
          <w:rFonts w:hint="eastAsia"/>
          <w:color w:val="000000"/>
          <w:highlight w:val="none"/>
          <w:u w:val="single"/>
          <w:lang w:eastAsia="zh-CN"/>
        </w:rPr>
        <w:t>钢材</w:t>
      </w:r>
      <w:r>
        <w:rPr>
          <w:rFonts w:hint="eastAsia"/>
          <w:color w:val="000000"/>
          <w:highlight w:val="none"/>
          <w:u w:val="single"/>
        </w:rPr>
        <w:t>汽车运输采购项目</w:t>
      </w:r>
    </w:p>
    <w:p>
      <w:pPr>
        <w:pStyle w:val="33"/>
        <w:spacing w:line="360" w:lineRule="auto"/>
        <w:ind w:firstLine="420" w:firstLineChars="200"/>
        <w:rPr>
          <w:color w:val="000000"/>
          <w:highlight w:val="none"/>
        </w:rPr>
      </w:pPr>
      <w:r>
        <w:rPr>
          <w:rFonts w:hint="eastAsia"/>
          <w:color w:val="000000"/>
          <w:highlight w:val="none"/>
        </w:rPr>
        <w:t>二、项目费用：</w:t>
      </w:r>
      <w:r>
        <w:rPr>
          <w:rFonts w:hint="eastAsia"/>
          <w:color w:val="000000"/>
          <w:highlight w:val="none"/>
          <w:u w:val="single"/>
        </w:rPr>
        <w:t>据实发生</w:t>
      </w:r>
    </w:p>
    <w:p>
      <w:pPr>
        <w:pStyle w:val="33"/>
        <w:spacing w:line="360" w:lineRule="auto"/>
        <w:ind w:firstLine="420" w:firstLineChars="200"/>
        <w:rPr>
          <w:color w:val="000000"/>
          <w:highlight w:val="none"/>
        </w:rPr>
      </w:pPr>
      <w:r>
        <w:rPr>
          <w:rFonts w:hint="eastAsia"/>
          <w:color w:val="000000"/>
          <w:highlight w:val="none"/>
        </w:rPr>
        <w:t>三、安全责任</w:t>
      </w:r>
    </w:p>
    <w:p>
      <w:pPr>
        <w:pStyle w:val="33"/>
        <w:spacing w:line="360" w:lineRule="auto"/>
        <w:ind w:firstLine="420" w:firstLineChars="200"/>
        <w:rPr>
          <w:bCs/>
          <w:color w:val="000000"/>
          <w:highlight w:val="none"/>
        </w:rPr>
      </w:pPr>
      <w:r>
        <w:rPr>
          <w:rFonts w:hint="eastAsia"/>
          <w:bCs/>
          <w:color w:val="000000"/>
          <w:highlight w:val="none"/>
        </w:rPr>
        <w:t>（一）共同责任</w:t>
      </w:r>
    </w:p>
    <w:p>
      <w:pPr>
        <w:pStyle w:val="33"/>
        <w:spacing w:line="360" w:lineRule="auto"/>
        <w:ind w:firstLine="420" w:firstLineChars="200"/>
        <w:rPr>
          <w:color w:val="000000"/>
          <w:highlight w:val="none"/>
        </w:rPr>
      </w:pPr>
      <w:r>
        <w:rPr>
          <w:rFonts w:hint="eastAsia"/>
          <w:color w:val="000000"/>
          <w:highlight w:val="none"/>
        </w:rPr>
        <w:t>甲乙双方必须严格遵守《中华人民共和国安全生产法》、《中华人民共和国道路交通安全法》、《中华人民共和国道路运输条例》、《公路安全保护条例》、《危险化学品安全管理条例》、《道路危险货物运输管理规定》等有关法律、法规等有关安全管理规定。</w:t>
      </w:r>
    </w:p>
    <w:p>
      <w:pPr>
        <w:pStyle w:val="33"/>
        <w:spacing w:line="360" w:lineRule="auto"/>
        <w:ind w:firstLine="420" w:firstLineChars="200"/>
        <w:rPr>
          <w:color w:val="000000"/>
          <w:highlight w:val="none"/>
        </w:rPr>
      </w:pPr>
      <w:r>
        <w:rPr>
          <w:rFonts w:hint="eastAsia"/>
          <w:color w:val="000000"/>
          <w:highlight w:val="none"/>
        </w:rPr>
        <w:t>（二）甲方安全责任</w:t>
      </w:r>
    </w:p>
    <w:p>
      <w:pPr>
        <w:pStyle w:val="33"/>
        <w:spacing w:line="360" w:lineRule="auto"/>
        <w:ind w:firstLine="420" w:firstLineChars="200"/>
        <w:rPr>
          <w:color w:val="000000"/>
          <w:highlight w:val="none"/>
        </w:rPr>
      </w:pPr>
      <w:r>
        <w:rPr>
          <w:rFonts w:hint="eastAsia"/>
          <w:color w:val="000000"/>
          <w:highlight w:val="none"/>
        </w:rPr>
        <w:t>1.审查乙方单位资质、从业相关人员（包括</w:t>
      </w:r>
      <w:r>
        <w:rPr>
          <w:color w:val="000000"/>
          <w:highlight w:val="none"/>
        </w:rPr>
        <w:t>特种设备作业人员</w:t>
      </w:r>
      <w:r>
        <w:rPr>
          <w:rFonts w:hint="eastAsia"/>
          <w:color w:val="000000"/>
          <w:highlight w:val="none"/>
        </w:rPr>
        <w:t>、</w:t>
      </w:r>
      <w:r>
        <w:rPr>
          <w:color w:val="000000"/>
          <w:highlight w:val="none"/>
        </w:rPr>
        <w:t>管理人员、</w:t>
      </w:r>
      <w:r>
        <w:rPr>
          <w:rFonts w:hint="eastAsia"/>
          <w:color w:val="000000"/>
          <w:highlight w:val="none"/>
        </w:rPr>
        <w:t>特种作业人员）从业资格证和特种设备相关资质，建立信息档案，宣贯甲方的安全管理规定。</w:t>
      </w:r>
    </w:p>
    <w:p>
      <w:pPr>
        <w:pStyle w:val="33"/>
        <w:spacing w:line="360" w:lineRule="auto"/>
        <w:ind w:firstLine="420" w:firstLineChars="200"/>
        <w:rPr>
          <w:color w:val="000000"/>
          <w:highlight w:val="none"/>
        </w:rPr>
      </w:pPr>
      <w:r>
        <w:rPr>
          <w:rFonts w:hint="eastAsia"/>
          <w:color w:val="000000"/>
          <w:highlight w:val="none"/>
        </w:rPr>
        <w:t>2.监督乙方制定物流服务安全措施。服务开展前向乙方管理人员和安全员进行服务安全告知，并监督乙方做好安全教育培训和技术交底。</w:t>
      </w:r>
    </w:p>
    <w:p>
      <w:pPr>
        <w:pStyle w:val="33"/>
        <w:spacing w:line="360" w:lineRule="auto"/>
        <w:ind w:firstLine="420" w:firstLineChars="200"/>
        <w:rPr>
          <w:color w:val="000000"/>
          <w:highlight w:val="none"/>
        </w:rPr>
      </w:pPr>
      <w:r>
        <w:rPr>
          <w:color w:val="000000"/>
          <w:highlight w:val="none"/>
        </w:rPr>
        <w:t>3.</w:t>
      </w:r>
      <w:r>
        <w:rPr>
          <w:rFonts w:hint="eastAsia"/>
          <w:color w:val="000000"/>
          <w:highlight w:val="none"/>
        </w:rPr>
        <w:t>监督乙方严格执行国家有关安全生产法律法规，安全生产技术标准、技术规范、规章和烟草行业及物流服务单位安全管理相关规定。</w:t>
      </w:r>
    </w:p>
    <w:p>
      <w:pPr>
        <w:pStyle w:val="33"/>
        <w:spacing w:line="360" w:lineRule="auto"/>
        <w:ind w:firstLine="420" w:firstLineChars="200"/>
        <w:rPr>
          <w:color w:val="000000"/>
          <w:highlight w:val="none"/>
        </w:rPr>
      </w:pPr>
      <w:r>
        <w:rPr>
          <w:color w:val="000000"/>
          <w:highlight w:val="none"/>
        </w:rPr>
        <w:t>4.</w:t>
      </w:r>
      <w:r>
        <w:rPr>
          <w:rFonts w:hint="eastAsia"/>
          <w:color w:val="000000"/>
          <w:highlight w:val="none"/>
        </w:rPr>
        <w:t>监督安全隐患整改，查处人的不安全行为、物的不安全状态、不安全的作业环境和安全管理缺陷。</w:t>
      </w:r>
    </w:p>
    <w:p>
      <w:pPr>
        <w:pStyle w:val="33"/>
        <w:spacing w:line="360" w:lineRule="auto"/>
        <w:ind w:firstLine="420" w:firstLineChars="200"/>
        <w:rPr>
          <w:color w:val="000000"/>
          <w:highlight w:val="none"/>
        </w:rPr>
      </w:pPr>
      <w:r>
        <w:rPr>
          <w:color w:val="000000"/>
          <w:highlight w:val="none"/>
        </w:rPr>
        <w:t>5.</w:t>
      </w:r>
      <w:r>
        <w:rPr>
          <w:rFonts w:hint="eastAsia"/>
          <w:color w:val="000000"/>
          <w:highlight w:val="none"/>
        </w:rPr>
        <w:t>发现下列情况甲方有权责令乙方停运整顿，并由乙方承担由此造成的全部损失。同时，甲方有权按本协议扣除乙方相应的安全履约保证金。</w:t>
      </w:r>
    </w:p>
    <w:p>
      <w:pPr>
        <w:pStyle w:val="33"/>
        <w:spacing w:line="360" w:lineRule="auto"/>
        <w:ind w:firstLine="420" w:firstLineChars="200"/>
        <w:rPr>
          <w:color w:val="000000"/>
          <w:highlight w:val="none"/>
        </w:rPr>
      </w:pPr>
      <w:r>
        <w:rPr>
          <w:rFonts w:hint="eastAsia"/>
          <w:color w:val="000000"/>
          <w:highlight w:val="none"/>
        </w:rPr>
        <w:t>（1）发生事故险情、重大安全隐患和人身伤亡事故的；</w:t>
      </w:r>
    </w:p>
    <w:p>
      <w:pPr>
        <w:pStyle w:val="33"/>
        <w:spacing w:line="360" w:lineRule="auto"/>
        <w:ind w:firstLine="420" w:firstLineChars="200"/>
        <w:rPr>
          <w:color w:val="000000"/>
          <w:highlight w:val="none"/>
        </w:rPr>
      </w:pPr>
      <w:r>
        <w:rPr>
          <w:rFonts w:hint="eastAsia"/>
          <w:color w:val="000000"/>
          <w:highlight w:val="none"/>
        </w:rPr>
        <w:t>（2）发生物流服务设备设施严重损坏或不符全安全条件的；</w:t>
      </w:r>
    </w:p>
    <w:p>
      <w:pPr>
        <w:pStyle w:val="33"/>
        <w:spacing w:line="360" w:lineRule="auto"/>
        <w:ind w:firstLine="420" w:firstLineChars="200"/>
        <w:rPr>
          <w:color w:val="000000"/>
          <w:highlight w:val="none"/>
        </w:rPr>
      </w:pPr>
      <w:r>
        <w:rPr>
          <w:rFonts w:hint="eastAsia"/>
          <w:color w:val="000000"/>
          <w:highlight w:val="none"/>
        </w:rPr>
        <w:t>（3）发生违章作业、冒险作业，违章指挥和不听劝告的；</w:t>
      </w:r>
    </w:p>
    <w:p>
      <w:pPr>
        <w:pStyle w:val="33"/>
        <w:spacing w:line="360" w:lineRule="auto"/>
        <w:ind w:firstLine="420" w:firstLineChars="200"/>
        <w:rPr>
          <w:color w:val="000000"/>
          <w:highlight w:val="none"/>
        </w:rPr>
      </w:pPr>
      <w:r>
        <w:rPr>
          <w:rFonts w:hint="eastAsia"/>
          <w:color w:val="000000"/>
          <w:highlight w:val="none"/>
        </w:rPr>
        <w:t>（4）服务设备脏、乱、差，不能满足安全和文明施工要求的；</w:t>
      </w:r>
    </w:p>
    <w:p>
      <w:pPr>
        <w:pStyle w:val="33"/>
        <w:spacing w:line="360" w:lineRule="auto"/>
        <w:ind w:firstLine="420" w:firstLineChars="200"/>
        <w:rPr>
          <w:color w:val="000000"/>
          <w:highlight w:val="none"/>
        </w:rPr>
      </w:pPr>
      <w:r>
        <w:rPr>
          <w:rFonts w:hint="eastAsia"/>
          <w:color w:val="000000"/>
          <w:highlight w:val="none"/>
        </w:rPr>
        <w:t>（5）未对服务作业人员进行安全教育、技术交底和购买人身意外伤害保险，未配备合格的劳动防护用品、安全用具的。</w:t>
      </w:r>
    </w:p>
    <w:p>
      <w:pPr>
        <w:pStyle w:val="33"/>
        <w:spacing w:line="360" w:lineRule="auto"/>
        <w:ind w:firstLine="420" w:firstLineChars="200"/>
        <w:rPr>
          <w:color w:val="000000"/>
          <w:highlight w:val="none"/>
        </w:rPr>
      </w:pPr>
      <w:r>
        <w:rPr>
          <w:rFonts w:hint="eastAsia"/>
          <w:color w:val="000000"/>
          <w:highlight w:val="none"/>
        </w:rPr>
        <w:t>（三）乙方安全责任</w:t>
      </w:r>
    </w:p>
    <w:p>
      <w:pPr>
        <w:pStyle w:val="33"/>
        <w:spacing w:line="360" w:lineRule="auto"/>
        <w:ind w:firstLine="420" w:firstLineChars="200"/>
        <w:rPr>
          <w:color w:val="000000"/>
          <w:highlight w:val="none"/>
        </w:rPr>
      </w:pPr>
      <w:r>
        <w:rPr>
          <w:rFonts w:hint="eastAsia"/>
          <w:color w:val="000000"/>
          <w:highlight w:val="none"/>
        </w:rPr>
        <w:t>（1）根据甲方管理要求提供真实有效的资格、资质材料。同时审查协同作业单位、</w:t>
      </w:r>
      <w:r>
        <w:rPr>
          <w:color w:val="000000"/>
          <w:highlight w:val="none"/>
        </w:rPr>
        <w:t>人员</w:t>
      </w:r>
      <w:r>
        <w:rPr>
          <w:rFonts w:hint="eastAsia"/>
          <w:color w:val="000000"/>
          <w:highlight w:val="none"/>
        </w:rPr>
        <w:t>资质，并对物流服务过程安全工作全面负责。</w:t>
      </w:r>
    </w:p>
    <w:p>
      <w:pPr>
        <w:pStyle w:val="33"/>
        <w:spacing w:line="360" w:lineRule="auto"/>
        <w:ind w:firstLine="420" w:firstLineChars="200"/>
        <w:rPr>
          <w:color w:val="000000"/>
          <w:highlight w:val="none"/>
        </w:rPr>
      </w:pPr>
      <w:r>
        <w:rPr>
          <w:rFonts w:hint="eastAsia"/>
          <w:color w:val="000000"/>
          <w:highlight w:val="none"/>
        </w:rPr>
        <w:t>（2）健全安全管理机构，配备安全管理人员和作业现场安全员，积极开展自主安全管理工作，主动接受甲方的安全监督。同时做好本单位的安全保卫工作。</w:t>
      </w:r>
    </w:p>
    <w:p>
      <w:pPr>
        <w:pStyle w:val="33"/>
        <w:spacing w:line="360" w:lineRule="auto"/>
        <w:ind w:firstLine="420" w:firstLineChars="200"/>
        <w:rPr>
          <w:color w:val="000000"/>
          <w:highlight w:val="none"/>
        </w:rPr>
      </w:pPr>
      <w:r>
        <w:rPr>
          <w:rFonts w:hint="eastAsia"/>
          <w:color w:val="000000"/>
          <w:highlight w:val="none"/>
        </w:rPr>
        <w:t>（3）制定安全管理制度，编制安全事故应急预案，配备应急器材且处于完好状态。编制物流服务安全专项方案，并经评审后报甲方备案。</w:t>
      </w:r>
    </w:p>
    <w:p>
      <w:pPr>
        <w:pStyle w:val="33"/>
        <w:spacing w:line="360" w:lineRule="auto"/>
        <w:ind w:firstLine="420" w:firstLineChars="200"/>
        <w:rPr>
          <w:color w:val="000000"/>
          <w:highlight w:val="none"/>
        </w:rPr>
      </w:pPr>
      <w:r>
        <w:rPr>
          <w:rFonts w:hint="eastAsia"/>
          <w:color w:val="000000"/>
          <w:highlight w:val="none"/>
        </w:rPr>
        <w:t>（4）严格贯彻执行国家安全生产法律法规及相关的安全技术标准、规范以及甲方安全管理规定。按照国家有关劳动安全卫生法规要求为物流服务人员办理人身意外伤害保险。</w:t>
      </w:r>
    </w:p>
    <w:p>
      <w:pPr>
        <w:pStyle w:val="33"/>
        <w:spacing w:line="360" w:lineRule="auto"/>
        <w:ind w:firstLine="420" w:firstLineChars="200"/>
        <w:rPr>
          <w:color w:val="000000"/>
          <w:highlight w:val="none"/>
        </w:rPr>
      </w:pPr>
      <w:r>
        <w:rPr>
          <w:rFonts w:hint="eastAsia"/>
          <w:color w:val="000000"/>
          <w:highlight w:val="none"/>
        </w:rPr>
        <w:t>（5）有效使用劳动安全卫生费用，为物流服务作业人员配备合格的劳动防护用品、安全用具并监督正确使用。同时加强物流服务现场管理，禁止无关人员进入作业现场。</w:t>
      </w:r>
    </w:p>
    <w:p>
      <w:pPr>
        <w:pStyle w:val="33"/>
        <w:spacing w:line="360" w:lineRule="auto"/>
        <w:ind w:firstLine="420" w:firstLineChars="200"/>
        <w:rPr>
          <w:color w:val="000000"/>
          <w:highlight w:val="none"/>
        </w:rPr>
      </w:pPr>
      <w:r>
        <w:rPr>
          <w:rFonts w:hint="eastAsia"/>
          <w:color w:val="000000"/>
          <w:highlight w:val="none"/>
        </w:rPr>
        <w:t>（6）按法规要求开展安全教育培训和安全技术交底（包括临时增补或调换人员）并</w:t>
      </w:r>
      <w:r>
        <w:rPr>
          <w:color w:val="000000"/>
          <w:highlight w:val="none"/>
        </w:rPr>
        <w:t>保存记录</w:t>
      </w:r>
      <w:r>
        <w:rPr>
          <w:rFonts w:hint="eastAsia"/>
          <w:color w:val="000000"/>
          <w:highlight w:val="none"/>
        </w:rPr>
        <w:t>，开展安全宣传安全和安全警示教育活动。安全警示标识齐全醒目，内容有针对性。</w:t>
      </w:r>
    </w:p>
    <w:p>
      <w:pPr>
        <w:pStyle w:val="33"/>
        <w:spacing w:line="360" w:lineRule="auto"/>
        <w:ind w:firstLine="420" w:firstLineChars="200"/>
        <w:rPr>
          <w:color w:val="000000"/>
          <w:highlight w:val="none"/>
        </w:rPr>
      </w:pPr>
      <w:r>
        <w:rPr>
          <w:rFonts w:hint="eastAsia"/>
          <w:color w:val="000000"/>
          <w:highlight w:val="none"/>
        </w:rPr>
        <w:t>（7）物流设备及安全防护用具（品）的数量和质量必须符合相关技术标准要求。特种设备检验合格、特种作业人员持有效证件上岗。高危作业必须有专人监护，且做好应急处置方案。</w:t>
      </w:r>
    </w:p>
    <w:p>
      <w:pPr>
        <w:pStyle w:val="33"/>
        <w:spacing w:line="360" w:lineRule="auto"/>
        <w:ind w:firstLine="420" w:firstLineChars="200"/>
        <w:rPr>
          <w:color w:val="000000"/>
          <w:highlight w:val="none"/>
        </w:rPr>
      </w:pPr>
      <w:r>
        <w:rPr>
          <w:rFonts w:hint="eastAsia"/>
          <w:color w:val="000000"/>
          <w:highlight w:val="none"/>
        </w:rPr>
        <w:t>（8）落实专人开展现场安全监督和检查，及时整改本单位发现的安全隐患和甲方提出的安全隐患，并将整改结果书面报告甲方备案。</w:t>
      </w:r>
    </w:p>
    <w:p>
      <w:pPr>
        <w:pStyle w:val="33"/>
        <w:spacing w:line="360" w:lineRule="auto"/>
        <w:ind w:firstLine="420" w:firstLineChars="200"/>
        <w:rPr>
          <w:color w:val="000000"/>
          <w:highlight w:val="none"/>
        </w:rPr>
      </w:pPr>
      <w:r>
        <w:rPr>
          <w:rFonts w:hint="eastAsia"/>
          <w:color w:val="000000"/>
          <w:highlight w:val="none"/>
        </w:rPr>
        <w:t>（9）建立消防安全责任制，明确消防安全责任人、制定用火用电及使用易燃易爆材料等各项消防安全管理制度和操作规程，配备消防设施和灭火器材，各类安全警告标识标志齐全醒目。</w:t>
      </w:r>
    </w:p>
    <w:p>
      <w:pPr>
        <w:pStyle w:val="33"/>
        <w:spacing w:line="360" w:lineRule="auto"/>
        <w:ind w:firstLine="420" w:firstLineChars="200"/>
        <w:rPr>
          <w:color w:val="000000"/>
          <w:highlight w:val="none"/>
        </w:rPr>
      </w:pPr>
      <w:r>
        <w:rPr>
          <w:rFonts w:hint="eastAsia"/>
          <w:color w:val="000000"/>
          <w:highlight w:val="none"/>
        </w:rPr>
        <w:t>（10）严禁私自改造物流设施设备，服务中做到清洁</w:t>
      </w:r>
      <w:r>
        <w:rPr>
          <w:color w:val="000000"/>
          <w:highlight w:val="none"/>
        </w:rPr>
        <w:t>、整洁、规范</w:t>
      </w:r>
      <w:r>
        <w:rPr>
          <w:rFonts w:hint="eastAsia"/>
          <w:color w:val="000000"/>
          <w:highlight w:val="none"/>
        </w:rPr>
        <w:t>。服务现场、设施设备等符合安全文明作业要求。</w:t>
      </w:r>
    </w:p>
    <w:p>
      <w:pPr>
        <w:pStyle w:val="33"/>
        <w:spacing w:line="360" w:lineRule="auto"/>
        <w:ind w:firstLine="420" w:firstLineChars="200"/>
        <w:rPr>
          <w:color w:val="000000"/>
          <w:highlight w:val="none"/>
        </w:rPr>
      </w:pPr>
      <w:r>
        <w:rPr>
          <w:rFonts w:hint="eastAsia"/>
          <w:color w:val="000000"/>
          <w:highlight w:val="none"/>
        </w:rPr>
        <w:t>（11）按照《国务院生产安全事故报告和调查处理条例》的要求报告安全事故。同时，对未造成事故后果的险情必须及时如实向甲方报告，严禁迟报、漏报和瞒报。</w:t>
      </w:r>
    </w:p>
    <w:p>
      <w:pPr>
        <w:pStyle w:val="33"/>
        <w:spacing w:line="360" w:lineRule="auto"/>
        <w:ind w:firstLine="420" w:firstLineChars="200"/>
        <w:rPr>
          <w:color w:val="000000"/>
          <w:highlight w:val="none"/>
        </w:rPr>
      </w:pPr>
      <w:r>
        <w:rPr>
          <w:rFonts w:hint="eastAsia"/>
          <w:color w:val="000000"/>
          <w:highlight w:val="none"/>
        </w:rPr>
        <w:t>四、物流服务安全履约保证金的收取和退还</w:t>
      </w:r>
    </w:p>
    <w:p>
      <w:pPr>
        <w:pStyle w:val="33"/>
        <w:spacing w:line="360" w:lineRule="auto"/>
        <w:ind w:firstLine="420" w:firstLineChars="200"/>
        <w:rPr>
          <w:color w:val="000000"/>
          <w:highlight w:val="none"/>
        </w:rPr>
      </w:pPr>
      <w:r>
        <w:rPr>
          <w:rFonts w:hint="eastAsia"/>
          <w:color w:val="000000"/>
          <w:highlight w:val="none"/>
        </w:rPr>
        <w:t>（一）物流服务项目合同签订后，乙方必须与甲方签订《物流服务安全责任协议书》，并将项目合同中交纳的履约保证金作为安全履约保证金。</w:t>
      </w:r>
    </w:p>
    <w:p>
      <w:pPr>
        <w:pStyle w:val="33"/>
        <w:spacing w:line="360" w:lineRule="auto"/>
        <w:ind w:firstLine="420" w:firstLineChars="200"/>
        <w:rPr>
          <w:color w:val="000000"/>
          <w:highlight w:val="none"/>
        </w:rPr>
      </w:pPr>
      <w:r>
        <w:rPr>
          <w:rFonts w:hint="eastAsia"/>
          <w:color w:val="000000"/>
          <w:highlight w:val="none"/>
        </w:rPr>
        <w:t>（二）乙方在物流服务过程中发生各类安全事故、事故险情或违章行为以及不服从甲方安全管理的，必须承担违约责任，并以现金形式向甲方交纳违约金。</w:t>
      </w:r>
    </w:p>
    <w:p>
      <w:pPr>
        <w:pStyle w:val="33"/>
        <w:spacing w:line="360" w:lineRule="auto"/>
        <w:ind w:firstLine="420" w:firstLineChars="200"/>
        <w:rPr>
          <w:color w:val="000000"/>
          <w:highlight w:val="none"/>
        </w:rPr>
      </w:pPr>
      <w:r>
        <w:rPr>
          <w:rFonts w:hint="eastAsia"/>
          <w:color w:val="000000"/>
          <w:highlight w:val="none"/>
        </w:rPr>
        <w:t>（三）安全履约保证金的退还。合同到期后，若未发生各类安全事故和违章行为，并积极配合甲方开展安全管理工作的，全额退还安全履约保证金。</w:t>
      </w:r>
    </w:p>
    <w:p>
      <w:pPr>
        <w:pStyle w:val="33"/>
        <w:spacing w:line="360" w:lineRule="auto"/>
        <w:ind w:firstLine="420" w:firstLineChars="200"/>
        <w:rPr>
          <w:color w:val="000000"/>
          <w:highlight w:val="none"/>
        </w:rPr>
      </w:pPr>
      <w:r>
        <w:rPr>
          <w:rFonts w:hint="eastAsia"/>
          <w:color w:val="000000"/>
          <w:highlight w:val="none"/>
        </w:rPr>
        <w:t>五、违约责任</w:t>
      </w:r>
    </w:p>
    <w:p>
      <w:pPr>
        <w:pStyle w:val="33"/>
        <w:spacing w:line="360" w:lineRule="auto"/>
        <w:ind w:firstLine="420" w:firstLineChars="200"/>
        <w:rPr>
          <w:color w:val="000000"/>
          <w:highlight w:val="none"/>
        </w:rPr>
      </w:pPr>
      <w:r>
        <w:rPr>
          <w:rFonts w:hint="eastAsia"/>
          <w:color w:val="000000"/>
          <w:highlight w:val="none"/>
        </w:rPr>
        <w:t>乙方作为物流服务项目的承接单位，对服务过程中发生的人身伤害（伤亡）、设备损坏等各类安全事故承担全部责任。同时，甲方视以下情况有权扣除安全履约保证金：</w:t>
      </w:r>
    </w:p>
    <w:p>
      <w:pPr>
        <w:pStyle w:val="33"/>
        <w:spacing w:line="360" w:lineRule="auto"/>
        <w:ind w:firstLine="420" w:firstLineChars="200"/>
        <w:rPr>
          <w:color w:val="000000"/>
          <w:highlight w:val="none"/>
        </w:rPr>
      </w:pPr>
      <w:r>
        <w:rPr>
          <w:rFonts w:hint="eastAsia"/>
          <w:color w:val="000000"/>
          <w:highlight w:val="none"/>
        </w:rPr>
        <w:t>（一）发生1起重大安全事故，扣除全部安全履约保证金；发生1起较大安全事故扣安全履约保证金的60%；</w:t>
      </w:r>
    </w:p>
    <w:p>
      <w:pPr>
        <w:pStyle w:val="33"/>
        <w:spacing w:line="360" w:lineRule="auto"/>
        <w:ind w:firstLine="420" w:firstLineChars="200"/>
        <w:rPr>
          <w:color w:val="000000"/>
          <w:highlight w:val="none"/>
        </w:rPr>
      </w:pPr>
      <w:r>
        <w:rPr>
          <w:rFonts w:hint="eastAsia"/>
          <w:color w:val="000000"/>
          <w:highlight w:val="none"/>
        </w:rPr>
        <w:t>（二）发生1起一般安全事故，扣安全履约保证金50%；</w:t>
      </w:r>
    </w:p>
    <w:p>
      <w:pPr>
        <w:pStyle w:val="33"/>
        <w:spacing w:line="360" w:lineRule="auto"/>
        <w:ind w:firstLine="420" w:firstLineChars="200"/>
        <w:rPr>
          <w:color w:val="000000"/>
          <w:highlight w:val="none"/>
        </w:rPr>
      </w:pPr>
      <w:r>
        <w:rPr>
          <w:rFonts w:hint="eastAsia"/>
          <w:color w:val="000000"/>
          <w:highlight w:val="none"/>
        </w:rPr>
        <w:t>（三）由于乙方责任造成他方人身伤害、设备损坏等财产损失，由责任方承担全部责任，并赔偿他方全部损失。</w:t>
      </w:r>
    </w:p>
    <w:p>
      <w:pPr>
        <w:pStyle w:val="33"/>
        <w:spacing w:line="360" w:lineRule="auto"/>
        <w:ind w:firstLine="420" w:firstLineChars="200"/>
        <w:rPr>
          <w:color w:val="000000"/>
          <w:highlight w:val="none"/>
        </w:rPr>
      </w:pPr>
      <w:r>
        <w:rPr>
          <w:rFonts w:hint="eastAsia"/>
          <w:color w:val="000000"/>
          <w:highlight w:val="none"/>
        </w:rPr>
        <w:t>（四）合同履行中，发现乙方提供的有关资质材料无效（如特种作业人员持无效证件上岗，专职安全员、项目经理、企业法人代表未取得安全资格或持无效证件上岗等），甲方有权解除合同，并由乙方承担由此造成的一切损失。</w:t>
      </w:r>
    </w:p>
    <w:p>
      <w:pPr>
        <w:pStyle w:val="33"/>
        <w:spacing w:line="360" w:lineRule="auto"/>
        <w:ind w:firstLine="420" w:firstLineChars="200"/>
        <w:rPr>
          <w:color w:val="000000"/>
          <w:highlight w:val="none"/>
        </w:rPr>
      </w:pPr>
      <w:r>
        <w:rPr>
          <w:rFonts w:hint="eastAsia"/>
          <w:color w:val="000000"/>
          <w:highlight w:val="none"/>
        </w:rPr>
        <w:t>（五）乙方人员未经许可到其他作业区域或擅自动用甲方或第三方的设施设备等，按每人次200元至500元扣除安全履约保证金。</w:t>
      </w:r>
    </w:p>
    <w:p>
      <w:pPr>
        <w:pStyle w:val="33"/>
        <w:spacing w:line="360" w:lineRule="auto"/>
        <w:ind w:firstLine="420" w:firstLineChars="200"/>
        <w:rPr>
          <w:color w:val="000000"/>
          <w:highlight w:val="none"/>
        </w:rPr>
      </w:pPr>
      <w:r>
        <w:rPr>
          <w:rFonts w:hint="eastAsia"/>
          <w:color w:val="000000"/>
          <w:highlight w:val="none"/>
        </w:rPr>
        <w:t>（六）乙方若有下列行为的按项次和人次扣5000元至20000元的安全履约保证金：</w:t>
      </w:r>
    </w:p>
    <w:p>
      <w:pPr>
        <w:pStyle w:val="33"/>
        <w:spacing w:line="360" w:lineRule="auto"/>
        <w:ind w:firstLine="420" w:firstLineChars="200"/>
        <w:rPr>
          <w:color w:val="000000"/>
          <w:highlight w:val="none"/>
        </w:rPr>
      </w:pPr>
      <w:r>
        <w:rPr>
          <w:rFonts w:hint="eastAsia"/>
          <w:color w:val="000000"/>
          <w:highlight w:val="none"/>
        </w:rPr>
        <w:t>1.违章操作、违章指挥、违反操作规范及甲方安全管理规定的；服务现场存在重大安全隐患以及未及时整改安全隐患或整改不彻底的；</w:t>
      </w:r>
    </w:p>
    <w:p>
      <w:pPr>
        <w:pStyle w:val="33"/>
        <w:spacing w:line="360" w:lineRule="auto"/>
        <w:ind w:firstLine="420" w:firstLineChars="200"/>
        <w:rPr>
          <w:color w:val="000000"/>
          <w:highlight w:val="none"/>
        </w:rPr>
      </w:pPr>
      <w:r>
        <w:rPr>
          <w:rFonts w:hint="eastAsia"/>
          <w:color w:val="000000"/>
          <w:highlight w:val="none"/>
        </w:rPr>
        <w:t>2.特种设备未按期检验的、物流设备设施不具备安全条件和超期投入使用的；</w:t>
      </w:r>
    </w:p>
    <w:p>
      <w:pPr>
        <w:pStyle w:val="33"/>
        <w:spacing w:line="360" w:lineRule="auto"/>
        <w:ind w:firstLine="420" w:firstLineChars="200"/>
        <w:rPr>
          <w:color w:val="000000"/>
          <w:highlight w:val="none"/>
        </w:rPr>
      </w:pPr>
      <w:r>
        <w:rPr>
          <w:rFonts w:hint="eastAsia"/>
          <w:color w:val="000000"/>
          <w:highlight w:val="none"/>
        </w:rPr>
        <w:t>3.未能有效落实安全卫生费用或安全文明作业的；</w:t>
      </w:r>
    </w:p>
    <w:p>
      <w:pPr>
        <w:pStyle w:val="33"/>
        <w:spacing w:line="360" w:lineRule="auto"/>
        <w:ind w:firstLine="420" w:firstLineChars="200"/>
        <w:rPr>
          <w:color w:val="000000"/>
          <w:highlight w:val="none"/>
        </w:rPr>
      </w:pPr>
      <w:r>
        <w:rPr>
          <w:rFonts w:hint="eastAsia"/>
          <w:color w:val="000000"/>
          <w:highlight w:val="none"/>
        </w:rPr>
        <w:t>4.未按照物流组织安排和安全规范实施作业的；</w:t>
      </w:r>
    </w:p>
    <w:p>
      <w:pPr>
        <w:pStyle w:val="33"/>
        <w:spacing w:line="360" w:lineRule="auto"/>
        <w:ind w:firstLine="420" w:firstLineChars="200"/>
        <w:rPr>
          <w:color w:val="000000"/>
          <w:highlight w:val="none"/>
        </w:rPr>
      </w:pPr>
      <w:r>
        <w:rPr>
          <w:rFonts w:hint="eastAsia"/>
          <w:color w:val="000000"/>
          <w:highlight w:val="none"/>
        </w:rPr>
        <w:t>5.未经审批同意私自改造</w:t>
      </w:r>
      <w:r>
        <w:rPr>
          <w:color w:val="000000"/>
          <w:highlight w:val="none"/>
        </w:rPr>
        <w:t>（</w:t>
      </w:r>
      <w:r>
        <w:rPr>
          <w:rFonts w:hint="eastAsia"/>
          <w:color w:val="000000"/>
          <w:highlight w:val="none"/>
        </w:rPr>
        <w:t>装</w:t>
      </w:r>
      <w:r>
        <w:rPr>
          <w:color w:val="000000"/>
          <w:highlight w:val="none"/>
        </w:rPr>
        <w:t>）</w:t>
      </w:r>
      <w:r>
        <w:rPr>
          <w:rFonts w:hint="eastAsia"/>
          <w:color w:val="000000"/>
          <w:highlight w:val="none"/>
        </w:rPr>
        <w:t>物流设施设备或消防设施器材未到位、防范措施未落实的；</w:t>
      </w:r>
    </w:p>
    <w:p>
      <w:pPr>
        <w:pStyle w:val="33"/>
        <w:spacing w:line="360" w:lineRule="auto"/>
        <w:ind w:firstLine="420" w:firstLineChars="200"/>
        <w:rPr>
          <w:color w:val="000000"/>
          <w:highlight w:val="none"/>
        </w:rPr>
      </w:pPr>
      <w:r>
        <w:rPr>
          <w:rFonts w:hint="eastAsia"/>
          <w:color w:val="000000"/>
          <w:highlight w:val="none"/>
        </w:rPr>
        <w:t>6.服务过程中发生各类事故隐瞒不报、迟报和漏报的；</w:t>
      </w:r>
    </w:p>
    <w:p>
      <w:pPr>
        <w:pStyle w:val="33"/>
        <w:spacing w:line="360" w:lineRule="auto"/>
        <w:ind w:firstLine="420" w:firstLineChars="200"/>
        <w:rPr>
          <w:color w:val="000000"/>
          <w:highlight w:val="none"/>
        </w:rPr>
      </w:pPr>
      <w:r>
        <w:rPr>
          <w:rFonts w:hint="eastAsia"/>
          <w:color w:val="000000"/>
          <w:highlight w:val="none"/>
        </w:rPr>
        <w:t>7.未认真履行本协议安全责任和项目合同安全条款以及各类安全技术交底内容要求的；</w:t>
      </w:r>
    </w:p>
    <w:p>
      <w:pPr>
        <w:pStyle w:val="33"/>
        <w:spacing w:line="360" w:lineRule="auto"/>
        <w:ind w:firstLine="420" w:firstLineChars="200"/>
        <w:rPr>
          <w:color w:val="000000"/>
          <w:highlight w:val="none"/>
        </w:rPr>
      </w:pPr>
      <w:r>
        <w:rPr>
          <w:rFonts w:hint="eastAsia"/>
          <w:color w:val="000000"/>
          <w:highlight w:val="none"/>
        </w:rPr>
        <w:t>8.未认真执行国家物流相关安全法规、技术标准、技术规范及甲方安全管理规定的；</w:t>
      </w:r>
    </w:p>
    <w:p>
      <w:pPr>
        <w:pStyle w:val="33"/>
        <w:spacing w:line="360" w:lineRule="auto"/>
        <w:ind w:firstLine="420" w:firstLineChars="200"/>
        <w:rPr>
          <w:color w:val="000000"/>
          <w:highlight w:val="none"/>
        </w:rPr>
      </w:pPr>
      <w:r>
        <w:rPr>
          <w:rFonts w:hint="eastAsia"/>
          <w:color w:val="000000"/>
          <w:highlight w:val="none"/>
        </w:rPr>
        <w:t>9.违反其他法律法规和安全技术标准、规范的。</w:t>
      </w:r>
    </w:p>
    <w:p>
      <w:pPr>
        <w:pStyle w:val="33"/>
        <w:spacing w:line="360" w:lineRule="auto"/>
        <w:ind w:firstLine="420" w:firstLineChars="200"/>
        <w:rPr>
          <w:color w:val="000000"/>
          <w:highlight w:val="none"/>
        </w:rPr>
      </w:pPr>
      <w:r>
        <w:rPr>
          <w:rFonts w:hint="eastAsia"/>
          <w:color w:val="000000"/>
          <w:highlight w:val="none"/>
        </w:rPr>
        <w:t>六、附则</w:t>
      </w:r>
    </w:p>
    <w:p>
      <w:pPr>
        <w:pStyle w:val="33"/>
        <w:spacing w:line="360" w:lineRule="auto"/>
        <w:ind w:firstLine="420" w:firstLineChars="200"/>
        <w:rPr>
          <w:color w:val="000000"/>
          <w:highlight w:val="none"/>
        </w:rPr>
      </w:pPr>
      <w:r>
        <w:rPr>
          <w:rFonts w:hint="eastAsia"/>
          <w:color w:val="000000"/>
          <w:highlight w:val="none"/>
        </w:rPr>
        <w:t>（一）本协议有效期限：自</w:t>
      </w:r>
      <w:r>
        <w:rPr>
          <w:color w:val="000000"/>
          <w:highlight w:val="none"/>
          <w:u w:val="single"/>
        </w:rPr>
        <w:t xml:space="preserve">  </w:t>
      </w:r>
      <w:r>
        <w:rPr>
          <w:rFonts w:hint="eastAsia"/>
          <w:color w:val="000000"/>
          <w:highlight w:val="none"/>
          <w:u w:val="single"/>
        </w:rPr>
        <w:t xml:space="preserve">    </w:t>
      </w:r>
      <w:r>
        <w:rPr>
          <w:color w:val="000000"/>
          <w:highlight w:val="none"/>
          <w:u w:val="single"/>
        </w:rPr>
        <w:t xml:space="preserve">  </w:t>
      </w:r>
      <w:r>
        <w:rPr>
          <w:rFonts w:hint="eastAsia"/>
          <w:color w:val="000000"/>
          <w:highlight w:val="none"/>
        </w:rPr>
        <w:t>年</w:t>
      </w:r>
      <w:r>
        <w:rPr>
          <w:rFonts w:hint="eastAsia"/>
          <w:color w:val="000000"/>
          <w:highlight w:val="none"/>
          <w:u w:val="single"/>
        </w:rPr>
        <w:t xml:space="preserve">   </w:t>
      </w:r>
      <w:r>
        <w:rPr>
          <w:color w:val="000000"/>
          <w:highlight w:val="none"/>
          <w:u w:val="single"/>
        </w:rPr>
        <w:t xml:space="preserve"> </w:t>
      </w:r>
      <w:r>
        <w:rPr>
          <w:rFonts w:hint="eastAsia"/>
          <w:color w:val="000000"/>
          <w:highlight w:val="none"/>
          <w:u w:val="single"/>
        </w:rPr>
        <w:t xml:space="preserve">  </w:t>
      </w:r>
      <w:r>
        <w:rPr>
          <w:color w:val="000000"/>
          <w:highlight w:val="none"/>
          <w:u w:val="single"/>
        </w:rPr>
        <w:t xml:space="preserve"> </w:t>
      </w:r>
      <w:r>
        <w:rPr>
          <w:rFonts w:hint="eastAsia"/>
          <w:color w:val="000000"/>
          <w:highlight w:val="none"/>
        </w:rPr>
        <w:t>月</w:t>
      </w:r>
      <w:r>
        <w:rPr>
          <w:color w:val="000000"/>
          <w:highlight w:val="none"/>
          <w:u w:val="single"/>
        </w:rPr>
        <w:t xml:space="preserve"> </w:t>
      </w:r>
      <w:r>
        <w:rPr>
          <w:rFonts w:hint="eastAsia"/>
          <w:color w:val="000000"/>
          <w:highlight w:val="none"/>
          <w:u w:val="single"/>
        </w:rPr>
        <w:t xml:space="preserve">     </w:t>
      </w:r>
      <w:r>
        <w:rPr>
          <w:color w:val="000000"/>
          <w:highlight w:val="none"/>
          <w:u w:val="single"/>
        </w:rPr>
        <w:t xml:space="preserve"> </w:t>
      </w:r>
      <w:r>
        <w:rPr>
          <w:rFonts w:hint="eastAsia"/>
          <w:color w:val="000000"/>
          <w:highlight w:val="none"/>
        </w:rPr>
        <w:t>日至</w:t>
      </w:r>
      <w:r>
        <w:rPr>
          <w:color w:val="000000"/>
          <w:highlight w:val="none"/>
          <w:u w:val="single"/>
        </w:rPr>
        <w:t xml:space="preserve">  </w:t>
      </w:r>
      <w:r>
        <w:rPr>
          <w:rFonts w:hint="eastAsia"/>
          <w:color w:val="000000"/>
          <w:highlight w:val="none"/>
          <w:u w:val="single"/>
        </w:rPr>
        <w:t xml:space="preserve">    </w:t>
      </w:r>
      <w:r>
        <w:rPr>
          <w:color w:val="000000"/>
          <w:highlight w:val="none"/>
          <w:u w:val="single"/>
        </w:rPr>
        <w:t xml:space="preserve">  </w:t>
      </w:r>
      <w:r>
        <w:rPr>
          <w:rFonts w:hint="eastAsia"/>
          <w:color w:val="000000"/>
          <w:highlight w:val="none"/>
        </w:rPr>
        <w:t>年</w:t>
      </w:r>
      <w:r>
        <w:rPr>
          <w:color w:val="000000"/>
          <w:highlight w:val="none"/>
          <w:u w:val="single"/>
        </w:rPr>
        <w:t xml:space="preserve"> </w:t>
      </w:r>
      <w:r>
        <w:rPr>
          <w:rFonts w:hint="eastAsia"/>
          <w:color w:val="000000"/>
          <w:highlight w:val="none"/>
          <w:u w:val="single"/>
        </w:rPr>
        <w:t xml:space="preserve">     </w:t>
      </w:r>
      <w:r>
        <w:rPr>
          <w:color w:val="000000"/>
          <w:highlight w:val="none"/>
          <w:u w:val="single"/>
        </w:rPr>
        <w:t xml:space="preserve"> </w:t>
      </w:r>
      <w:r>
        <w:rPr>
          <w:rFonts w:hint="eastAsia"/>
          <w:color w:val="000000"/>
          <w:highlight w:val="none"/>
        </w:rPr>
        <w:t>月</w:t>
      </w:r>
      <w:r>
        <w:rPr>
          <w:color w:val="000000"/>
          <w:highlight w:val="none"/>
          <w:u w:val="single"/>
        </w:rPr>
        <w:t xml:space="preserve"> </w:t>
      </w:r>
      <w:r>
        <w:rPr>
          <w:rFonts w:hint="eastAsia"/>
          <w:color w:val="000000"/>
          <w:highlight w:val="none"/>
          <w:u w:val="single"/>
        </w:rPr>
        <w:t xml:space="preserve">      </w:t>
      </w:r>
      <w:r>
        <w:rPr>
          <w:color w:val="000000"/>
          <w:highlight w:val="none"/>
          <w:u w:val="single"/>
        </w:rPr>
        <w:t xml:space="preserve"> </w:t>
      </w:r>
      <w:r>
        <w:rPr>
          <w:rFonts w:hint="eastAsia"/>
          <w:color w:val="000000"/>
          <w:highlight w:val="none"/>
        </w:rPr>
        <w:t>日止。</w:t>
      </w:r>
    </w:p>
    <w:p>
      <w:pPr>
        <w:pStyle w:val="33"/>
        <w:spacing w:line="360" w:lineRule="auto"/>
        <w:ind w:firstLine="420" w:firstLineChars="200"/>
        <w:rPr>
          <w:color w:val="000000"/>
          <w:highlight w:val="none"/>
        </w:rPr>
      </w:pPr>
      <w:r>
        <w:rPr>
          <w:rFonts w:hint="eastAsia"/>
          <w:color w:val="000000"/>
          <w:highlight w:val="none"/>
        </w:rPr>
        <w:t>（二）本协议作为主合同中安全合同的补充条款，与主合同具备同等法律效力，双方必须严格执行。</w:t>
      </w:r>
    </w:p>
    <w:p>
      <w:pPr>
        <w:pStyle w:val="33"/>
        <w:spacing w:line="360" w:lineRule="auto"/>
        <w:ind w:firstLine="420" w:firstLineChars="200"/>
        <w:rPr>
          <w:color w:val="000000"/>
          <w:highlight w:val="none"/>
        </w:rPr>
      </w:pPr>
      <w:r>
        <w:rPr>
          <w:rFonts w:hint="eastAsia"/>
          <w:color w:val="000000"/>
          <w:highlight w:val="none"/>
        </w:rPr>
        <w:t>（三）本协议执行过程中，如发生争议，由双方协商解决；若经协商不能解决的，任何一方可以向甲方当地人民法院提起诉讼。</w:t>
      </w:r>
    </w:p>
    <w:p>
      <w:pPr>
        <w:pStyle w:val="33"/>
        <w:spacing w:line="360" w:lineRule="auto"/>
        <w:ind w:firstLine="420" w:firstLineChars="200"/>
        <w:rPr>
          <w:color w:val="000000"/>
          <w:highlight w:val="none"/>
        </w:rPr>
      </w:pPr>
      <w:r>
        <w:rPr>
          <w:rFonts w:hint="eastAsia"/>
          <w:color w:val="000000"/>
          <w:highlight w:val="none"/>
        </w:rPr>
        <w:t>（四）本协议经双方法定代表人或委托代理人签字盖章后生效，一式两份，甲乙双方各执一份。</w:t>
      </w:r>
    </w:p>
    <w:p>
      <w:pPr>
        <w:pStyle w:val="33"/>
        <w:spacing w:line="360" w:lineRule="auto"/>
        <w:ind w:firstLine="420" w:firstLineChars="200"/>
        <w:rPr>
          <w:color w:val="000000"/>
          <w:highlight w:val="none"/>
        </w:rPr>
      </w:pPr>
      <w:r>
        <w:rPr>
          <w:rFonts w:hint="eastAsia"/>
          <w:color w:val="000000"/>
          <w:highlight w:val="none"/>
        </w:rPr>
        <w:t>（五）本协议签订地点在甲方办公所在地。</w:t>
      </w:r>
    </w:p>
    <w:p>
      <w:pPr>
        <w:pStyle w:val="33"/>
        <w:spacing w:line="360" w:lineRule="auto"/>
        <w:rPr>
          <w:color w:val="000000"/>
          <w:highlight w:val="none"/>
        </w:rPr>
      </w:pPr>
    </w:p>
    <w:p>
      <w:pPr>
        <w:pStyle w:val="33"/>
        <w:spacing w:line="360" w:lineRule="auto"/>
        <w:rPr>
          <w:color w:val="000000"/>
          <w:highlight w:val="none"/>
        </w:rPr>
      </w:pPr>
      <w:r>
        <w:rPr>
          <w:rFonts w:hint="eastAsia"/>
          <w:color w:val="000000"/>
          <w:highlight w:val="none"/>
        </w:rPr>
        <w:t>甲方（印章）：贵州交投商贸物流有限公司</w:t>
      </w:r>
    </w:p>
    <w:p>
      <w:pPr>
        <w:pStyle w:val="33"/>
        <w:spacing w:line="360" w:lineRule="auto"/>
        <w:rPr>
          <w:color w:val="000000"/>
          <w:highlight w:val="none"/>
        </w:rPr>
      </w:pPr>
      <w:r>
        <w:rPr>
          <w:rFonts w:hint="eastAsia"/>
          <w:color w:val="000000"/>
          <w:highlight w:val="none"/>
        </w:rPr>
        <w:t xml:space="preserve">法人或委托代理人（签名）：              </w:t>
      </w:r>
      <w:r>
        <w:rPr>
          <w:color w:val="000000"/>
          <w:highlight w:val="none"/>
        </w:rPr>
        <w:t xml:space="preserve">     </w:t>
      </w:r>
      <w:r>
        <w:rPr>
          <w:rFonts w:hint="eastAsia"/>
          <w:color w:val="000000"/>
          <w:highlight w:val="none"/>
        </w:rPr>
        <w:t>签订时间：    年</w:t>
      </w:r>
      <w:r>
        <w:rPr>
          <w:color w:val="000000"/>
          <w:highlight w:val="none"/>
        </w:rPr>
        <w:t xml:space="preserve">  </w:t>
      </w:r>
      <w:r>
        <w:rPr>
          <w:rFonts w:hint="eastAsia"/>
          <w:color w:val="000000"/>
          <w:highlight w:val="none"/>
        </w:rPr>
        <w:t>月</w:t>
      </w:r>
      <w:r>
        <w:rPr>
          <w:color w:val="000000"/>
          <w:highlight w:val="none"/>
        </w:rPr>
        <w:t xml:space="preserve">  </w:t>
      </w:r>
      <w:r>
        <w:rPr>
          <w:rFonts w:hint="eastAsia"/>
          <w:color w:val="000000"/>
          <w:highlight w:val="none"/>
        </w:rPr>
        <w:t>日</w:t>
      </w:r>
    </w:p>
    <w:p>
      <w:pPr>
        <w:pStyle w:val="33"/>
        <w:spacing w:line="360" w:lineRule="auto"/>
        <w:rPr>
          <w:color w:val="000000"/>
          <w:highlight w:val="none"/>
        </w:rPr>
      </w:pPr>
    </w:p>
    <w:p>
      <w:pPr>
        <w:pStyle w:val="33"/>
        <w:spacing w:line="360" w:lineRule="auto"/>
        <w:rPr>
          <w:color w:val="000000"/>
          <w:highlight w:val="none"/>
        </w:rPr>
      </w:pPr>
    </w:p>
    <w:p>
      <w:pPr>
        <w:pStyle w:val="33"/>
        <w:spacing w:line="360" w:lineRule="auto"/>
        <w:rPr>
          <w:color w:val="000000"/>
          <w:highlight w:val="none"/>
        </w:rPr>
      </w:pPr>
      <w:r>
        <w:rPr>
          <w:rFonts w:hint="eastAsia"/>
          <w:color w:val="000000"/>
          <w:highlight w:val="none"/>
        </w:rPr>
        <w:t>乙方（印章）：</w:t>
      </w:r>
    </w:p>
    <w:p>
      <w:pPr>
        <w:pStyle w:val="33"/>
        <w:spacing w:line="360" w:lineRule="auto"/>
        <w:rPr>
          <w:color w:val="000000"/>
          <w:highlight w:val="none"/>
        </w:rPr>
      </w:pPr>
    </w:p>
    <w:p>
      <w:pPr>
        <w:pStyle w:val="33"/>
        <w:spacing w:line="360" w:lineRule="auto"/>
        <w:rPr>
          <w:color w:val="000000"/>
          <w:highlight w:val="none"/>
        </w:rPr>
      </w:pPr>
      <w:r>
        <w:rPr>
          <w:rFonts w:hint="eastAsia"/>
          <w:color w:val="000000"/>
          <w:highlight w:val="none"/>
        </w:rPr>
        <w:t>法人或委托代理人（签名）：              签订时间：</w:t>
      </w:r>
      <w:r>
        <w:rPr>
          <w:color w:val="000000"/>
          <w:highlight w:val="none"/>
        </w:rPr>
        <w:t xml:space="preserve">    </w:t>
      </w:r>
      <w:r>
        <w:rPr>
          <w:rFonts w:hint="eastAsia"/>
          <w:color w:val="000000"/>
          <w:highlight w:val="none"/>
        </w:rPr>
        <w:t>年</w:t>
      </w:r>
      <w:r>
        <w:rPr>
          <w:color w:val="000000"/>
          <w:highlight w:val="none"/>
        </w:rPr>
        <w:t xml:space="preserve">  </w:t>
      </w:r>
      <w:r>
        <w:rPr>
          <w:rFonts w:hint="eastAsia"/>
          <w:color w:val="000000"/>
          <w:highlight w:val="none"/>
        </w:rPr>
        <w:t>月</w:t>
      </w:r>
      <w:r>
        <w:rPr>
          <w:color w:val="000000"/>
          <w:highlight w:val="none"/>
        </w:rPr>
        <w:t xml:space="preserve">  </w:t>
      </w:r>
      <w:r>
        <w:rPr>
          <w:rFonts w:hint="eastAsia"/>
          <w:color w:val="000000"/>
          <w:highlight w:val="none"/>
        </w:rPr>
        <w:t>日</w:t>
      </w:r>
    </w:p>
    <w:p>
      <w:pPr>
        <w:pStyle w:val="11"/>
        <w:tabs>
          <w:tab w:val="left" w:pos="6943"/>
          <w:tab w:val="left" w:pos="7889"/>
          <w:tab w:val="left" w:pos="8833"/>
        </w:tabs>
        <w:spacing w:before="71"/>
        <w:ind w:left="6207"/>
        <w:rPr>
          <w:highlight w:val="none"/>
        </w:rPr>
        <w:sectPr>
          <w:type w:val="continuous"/>
          <w:pgSz w:w="12240" w:h="15840"/>
          <w:pgMar w:top="1500" w:right="1100" w:bottom="280" w:left="1400" w:header="720" w:footer="720" w:gutter="0"/>
          <w:cols w:space="720" w:num="1"/>
        </w:sectPr>
      </w:pPr>
    </w:p>
    <w:p>
      <w:pPr>
        <w:pStyle w:val="11"/>
        <w:rPr>
          <w:sz w:val="20"/>
          <w:highlight w:val="none"/>
        </w:rPr>
      </w:pPr>
      <w:bookmarkStart w:id="204" w:name="_bookmark137"/>
      <w:bookmarkEnd w:id="204"/>
      <w:bookmarkStart w:id="205" w:name="_bookmark138"/>
      <w:bookmarkEnd w:id="205"/>
    </w:p>
    <w:p>
      <w:pPr>
        <w:pStyle w:val="11"/>
        <w:rPr>
          <w:sz w:val="20"/>
          <w:highlight w:val="none"/>
        </w:rPr>
      </w:pPr>
    </w:p>
    <w:p>
      <w:pPr>
        <w:pStyle w:val="3"/>
        <w:numPr>
          <w:ilvl w:val="0"/>
          <w:numId w:val="21"/>
        </w:numPr>
        <w:spacing w:line="683" w:lineRule="exact"/>
        <w:jc w:val="center"/>
        <w:rPr>
          <w:rFonts w:hint="eastAsia"/>
          <w:highlight w:val="none"/>
        </w:rPr>
      </w:pPr>
      <w:bookmarkStart w:id="206" w:name="_bookmark145"/>
      <w:bookmarkEnd w:id="206"/>
      <w:bookmarkStart w:id="207" w:name="_bookmark144"/>
      <w:bookmarkEnd w:id="207"/>
      <w:bookmarkStart w:id="208" w:name="_Toc9"/>
      <w:r>
        <w:rPr>
          <w:rFonts w:hint="eastAsia"/>
          <w:highlight w:val="none"/>
          <w:lang w:val="en-US"/>
        </w:rPr>
        <w:t xml:space="preserve"> </w:t>
      </w:r>
      <w:bookmarkStart w:id="209" w:name="_Toc3303"/>
      <w:r>
        <w:rPr>
          <w:rFonts w:hint="eastAsia"/>
          <w:highlight w:val="none"/>
        </w:rPr>
        <w:t>技术标准和要求</w:t>
      </w:r>
      <w:bookmarkEnd w:id="209"/>
      <w:bookmarkStart w:id="210" w:name="_Toc460681067"/>
      <w:bookmarkStart w:id="211" w:name="_Toc499298910"/>
      <w:bookmarkStart w:id="212" w:name="_Toc461441125"/>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r>
        <w:rPr>
          <w:rFonts w:hint="eastAsia"/>
          <w:lang w:val="en-US" w:eastAsia="zh-CN"/>
        </w:rPr>
        <w:t>无</w:t>
      </w:r>
    </w:p>
    <w:bookmarkEnd w:id="210"/>
    <w:bookmarkEnd w:id="211"/>
    <w:bookmarkEnd w:id="212"/>
    <w:p>
      <w:pPr>
        <w:rPr>
          <w:highlight w:val="none"/>
        </w:rPr>
      </w:pPr>
      <w:r>
        <w:rPr>
          <w:highlight w:val="none"/>
        </w:rPr>
        <w:br w:type="page"/>
      </w:r>
    </w:p>
    <w:p>
      <w:pPr>
        <w:pStyle w:val="3"/>
        <w:spacing w:line="683" w:lineRule="exact"/>
        <w:ind w:left="2733"/>
        <w:rPr>
          <w:highlight w:val="none"/>
        </w:rPr>
      </w:pPr>
      <w:bookmarkStart w:id="213" w:name="_Toc10508"/>
      <w:r>
        <w:rPr>
          <w:highlight w:val="none"/>
        </w:rPr>
        <w:t>第</w:t>
      </w:r>
      <w:r>
        <w:rPr>
          <w:rFonts w:hint="eastAsia" w:eastAsia="宋体"/>
          <w:highlight w:val="none"/>
          <w:lang w:val="en-US"/>
        </w:rPr>
        <w:t>六</w:t>
      </w:r>
      <w:r>
        <w:rPr>
          <w:highlight w:val="none"/>
        </w:rPr>
        <w:t>章</w:t>
      </w:r>
      <w:r>
        <w:rPr>
          <w:rFonts w:hint="eastAsia" w:eastAsia="宋体"/>
          <w:highlight w:val="none"/>
          <w:lang w:val="en-US"/>
        </w:rPr>
        <w:t xml:space="preserve">  </w:t>
      </w:r>
      <w:r>
        <w:rPr>
          <w:highlight w:val="none"/>
        </w:rPr>
        <w:t>投标文件格式</w:t>
      </w:r>
      <w:bookmarkEnd w:id="208"/>
      <w:bookmarkEnd w:id="213"/>
    </w:p>
    <w:p>
      <w:pPr>
        <w:spacing w:line="683" w:lineRule="exact"/>
        <w:rPr>
          <w:highlight w:val="none"/>
        </w:rPr>
        <w:sectPr>
          <w:pgSz w:w="12240" w:h="15840"/>
          <w:pgMar w:top="1420" w:right="1100" w:bottom="1120" w:left="1400" w:header="0" w:footer="841" w:gutter="0"/>
          <w:cols w:space="720" w:num="1"/>
        </w:sectPr>
      </w:pPr>
    </w:p>
    <w:p>
      <w:pPr>
        <w:pStyle w:val="11"/>
        <w:spacing w:before="4"/>
        <w:jc w:val="right"/>
        <w:rPr>
          <w:bCs/>
          <w:color w:val="000000"/>
          <w:sz w:val="32"/>
          <w:szCs w:val="32"/>
          <w:highlight w:val="none"/>
          <w:lang w:val="en-US"/>
        </w:rPr>
      </w:pPr>
    </w:p>
    <w:p>
      <w:pPr>
        <w:pStyle w:val="11"/>
        <w:spacing w:before="4"/>
        <w:jc w:val="right"/>
        <w:rPr>
          <w:rFonts w:ascii="Microsoft JhengHei"/>
          <w:b/>
          <w:sz w:val="18"/>
          <w:highlight w:val="none"/>
        </w:rPr>
      </w:pPr>
      <w:r>
        <w:rPr>
          <w:rFonts w:hint="eastAsia"/>
          <w:bCs/>
          <w:color w:val="000000"/>
          <w:sz w:val="32"/>
          <w:szCs w:val="32"/>
          <w:highlight w:val="none"/>
          <w:lang w:val="en-US"/>
        </w:rPr>
        <w:t>正本（副本）</w:t>
      </w:r>
    </w:p>
    <w:p>
      <w:pPr>
        <w:pStyle w:val="11"/>
        <w:jc w:val="center"/>
        <w:rPr>
          <w:rFonts w:ascii="Microsoft JhengHei"/>
          <w:b/>
          <w:sz w:val="20"/>
          <w:highlight w:val="none"/>
        </w:rPr>
      </w:pPr>
    </w:p>
    <w:p>
      <w:pPr>
        <w:pStyle w:val="11"/>
        <w:rPr>
          <w:rFonts w:ascii="Microsoft JhengHei"/>
          <w:b/>
          <w:sz w:val="20"/>
          <w:highlight w:val="none"/>
        </w:rPr>
      </w:pPr>
    </w:p>
    <w:p>
      <w:pPr>
        <w:pStyle w:val="11"/>
        <w:spacing w:before="4"/>
        <w:rPr>
          <w:rFonts w:ascii="Microsoft JhengHei"/>
          <w:b/>
          <w:sz w:val="18"/>
          <w:highlight w:val="none"/>
        </w:rPr>
      </w:pPr>
    </w:p>
    <w:p>
      <w:pPr>
        <w:tabs>
          <w:tab w:val="left" w:pos="3319"/>
        </w:tabs>
        <w:spacing w:before="70"/>
        <w:ind w:left="2200"/>
        <w:rPr>
          <w:sz w:val="28"/>
          <w:highlight w:val="none"/>
        </w:rPr>
      </w:pPr>
      <w:r>
        <w:rPr>
          <w:rFonts w:ascii="Times New Roman" w:eastAsia="Times New Roman"/>
          <w:sz w:val="28"/>
          <w:highlight w:val="none"/>
          <w:u w:val="single"/>
        </w:rPr>
        <w:t xml:space="preserve"> </w:t>
      </w:r>
      <w:r>
        <w:rPr>
          <w:rFonts w:ascii="Times New Roman" w:eastAsia="Times New Roman"/>
          <w:sz w:val="28"/>
          <w:highlight w:val="none"/>
          <w:u w:val="single"/>
        </w:rPr>
        <w:tab/>
      </w:r>
      <w:r>
        <w:rPr>
          <w:sz w:val="28"/>
          <w:highlight w:val="none"/>
        </w:rPr>
        <w:t>（</w:t>
      </w:r>
      <w:r>
        <w:rPr>
          <w:spacing w:val="-1"/>
          <w:sz w:val="28"/>
          <w:highlight w:val="none"/>
        </w:rPr>
        <w:t>项目名称</w:t>
      </w:r>
      <w:r>
        <w:rPr>
          <w:sz w:val="28"/>
          <w:highlight w:val="none"/>
        </w:rPr>
        <w:t>）</w:t>
      </w:r>
      <w:r>
        <w:rPr>
          <w:spacing w:val="-3"/>
          <w:sz w:val="28"/>
          <w:highlight w:val="none"/>
        </w:rPr>
        <w:t>采购招标项目</w:t>
      </w:r>
    </w:p>
    <w:p>
      <w:pPr>
        <w:pStyle w:val="11"/>
        <w:rPr>
          <w:sz w:val="20"/>
          <w:highlight w:val="none"/>
        </w:rPr>
      </w:pPr>
    </w:p>
    <w:p>
      <w:pPr>
        <w:spacing w:before="209"/>
        <w:ind w:left="3511"/>
        <w:rPr>
          <w:sz w:val="44"/>
          <w:highlight w:val="none"/>
        </w:rPr>
      </w:pPr>
      <w:r>
        <w:rPr>
          <w:sz w:val="44"/>
          <w:highlight w:val="none"/>
        </w:rPr>
        <w:t>投 标 文 件</w:t>
      </w:r>
    </w:p>
    <w:p>
      <w:pPr>
        <w:pStyle w:val="11"/>
        <w:rPr>
          <w:sz w:val="44"/>
          <w:highlight w:val="none"/>
        </w:rPr>
      </w:pPr>
    </w:p>
    <w:p>
      <w:pPr>
        <w:pStyle w:val="11"/>
        <w:rPr>
          <w:sz w:val="44"/>
          <w:highlight w:val="none"/>
        </w:rPr>
      </w:pPr>
    </w:p>
    <w:p>
      <w:pPr>
        <w:pStyle w:val="11"/>
        <w:rPr>
          <w:sz w:val="44"/>
          <w:highlight w:val="none"/>
        </w:rPr>
      </w:pPr>
    </w:p>
    <w:p>
      <w:pPr>
        <w:pStyle w:val="11"/>
        <w:rPr>
          <w:sz w:val="44"/>
          <w:highlight w:val="none"/>
        </w:rPr>
      </w:pPr>
    </w:p>
    <w:p>
      <w:pPr>
        <w:pStyle w:val="11"/>
        <w:rPr>
          <w:sz w:val="44"/>
          <w:highlight w:val="none"/>
        </w:rPr>
      </w:pPr>
    </w:p>
    <w:p>
      <w:pPr>
        <w:pStyle w:val="11"/>
        <w:rPr>
          <w:sz w:val="44"/>
          <w:highlight w:val="none"/>
        </w:rPr>
      </w:pPr>
    </w:p>
    <w:p>
      <w:pPr>
        <w:pStyle w:val="11"/>
        <w:rPr>
          <w:sz w:val="44"/>
          <w:highlight w:val="none"/>
        </w:rPr>
      </w:pPr>
    </w:p>
    <w:p>
      <w:pPr>
        <w:pStyle w:val="11"/>
        <w:rPr>
          <w:sz w:val="44"/>
          <w:highlight w:val="none"/>
        </w:rPr>
      </w:pPr>
    </w:p>
    <w:p>
      <w:pPr>
        <w:pStyle w:val="11"/>
        <w:rPr>
          <w:sz w:val="44"/>
          <w:highlight w:val="none"/>
        </w:rPr>
      </w:pPr>
    </w:p>
    <w:p>
      <w:pPr>
        <w:pStyle w:val="11"/>
        <w:rPr>
          <w:sz w:val="44"/>
          <w:highlight w:val="none"/>
        </w:rPr>
      </w:pPr>
    </w:p>
    <w:p>
      <w:pPr>
        <w:pStyle w:val="11"/>
        <w:rPr>
          <w:sz w:val="44"/>
          <w:highlight w:val="none"/>
        </w:rPr>
      </w:pPr>
    </w:p>
    <w:p>
      <w:pPr>
        <w:pStyle w:val="11"/>
        <w:rPr>
          <w:sz w:val="44"/>
          <w:highlight w:val="none"/>
        </w:rPr>
      </w:pPr>
    </w:p>
    <w:p>
      <w:pPr>
        <w:pStyle w:val="11"/>
        <w:spacing w:before="9"/>
        <w:rPr>
          <w:sz w:val="39"/>
          <w:highlight w:val="none"/>
        </w:rPr>
      </w:pPr>
    </w:p>
    <w:p>
      <w:pPr>
        <w:tabs>
          <w:tab w:val="left" w:pos="7262"/>
          <w:tab w:val="left" w:pos="7855"/>
        </w:tabs>
        <w:spacing w:line="364" w:lineRule="auto"/>
        <w:ind w:left="1521" w:right="761"/>
        <w:rPr>
          <w:sz w:val="28"/>
          <w:highlight w:val="none"/>
        </w:rPr>
      </w:pPr>
      <w:r>
        <w:rPr>
          <w:sz w:val="28"/>
          <w:highlight w:val="none"/>
        </w:rPr>
        <w:t>投标人：</w:t>
      </w:r>
      <w:r>
        <w:rPr>
          <w:sz w:val="28"/>
          <w:highlight w:val="none"/>
          <w:u w:val="single"/>
        </w:rPr>
        <w:t xml:space="preserve"> </w:t>
      </w:r>
      <w:r>
        <w:rPr>
          <w:sz w:val="28"/>
          <w:highlight w:val="none"/>
          <w:u w:val="single"/>
        </w:rPr>
        <w:tab/>
      </w:r>
      <w:r>
        <w:rPr>
          <w:sz w:val="28"/>
          <w:highlight w:val="none"/>
        </w:rPr>
        <w:t>（盖</w:t>
      </w:r>
      <w:r>
        <w:rPr>
          <w:spacing w:val="-3"/>
          <w:sz w:val="28"/>
          <w:highlight w:val="none"/>
        </w:rPr>
        <w:t>单</w:t>
      </w:r>
      <w:r>
        <w:rPr>
          <w:sz w:val="28"/>
          <w:highlight w:val="none"/>
        </w:rPr>
        <w:t>位</w:t>
      </w:r>
      <w:r>
        <w:rPr>
          <w:spacing w:val="-3"/>
          <w:sz w:val="28"/>
          <w:highlight w:val="none"/>
        </w:rPr>
        <w:t>章</w:t>
      </w:r>
      <w:r>
        <w:rPr>
          <w:sz w:val="28"/>
          <w:highlight w:val="none"/>
        </w:rPr>
        <w:t>） 法定代</w:t>
      </w:r>
      <w:r>
        <w:rPr>
          <w:spacing w:val="-3"/>
          <w:sz w:val="28"/>
          <w:highlight w:val="none"/>
        </w:rPr>
        <w:t>表</w:t>
      </w:r>
      <w:r>
        <w:rPr>
          <w:sz w:val="28"/>
          <w:highlight w:val="none"/>
        </w:rPr>
        <w:t>人（</w:t>
      </w:r>
      <w:r>
        <w:rPr>
          <w:spacing w:val="-3"/>
          <w:sz w:val="28"/>
          <w:highlight w:val="none"/>
        </w:rPr>
        <w:t>单位</w:t>
      </w:r>
      <w:r>
        <w:rPr>
          <w:sz w:val="28"/>
          <w:highlight w:val="none"/>
        </w:rPr>
        <w:t>负责人</w:t>
      </w:r>
      <w:r>
        <w:rPr>
          <w:spacing w:val="-3"/>
          <w:sz w:val="28"/>
          <w:highlight w:val="none"/>
        </w:rPr>
        <w:t>）</w:t>
      </w:r>
      <w:r>
        <w:rPr>
          <w:sz w:val="28"/>
          <w:highlight w:val="none"/>
        </w:rPr>
        <w:t>或其</w:t>
      </w:r>
      <w:r>
        <w:rPr>
          <w:spacing w:val="-3"/>
          <w:sz w:val="28"/>
          <w:highlight w:val="none"/>
        </w:rPr>
        <w:t>委托</w:t>
      </w:r>
      <w:r>
        <w:rPr>
          <w:sz w:val="28"/>
          <w:highlight w:val="none"/>
        </w:rPr>
        <w:t>代理人：</w:t>
      </w:r>
      <w:r>
        <w:rPr>
          <w:sz w:val="28"/>
          <w:highlight w:val="none"/>
          <w:u w:val="single"/>
        </w:rPr>
        <w:t xml:space="preserve"> </w:t>
      </w:r>
      <w:r>
        <w:rPr>
          <w:sz w:val="28"/>
          <w:highlight w:val="none"/>
          <w:u w:val="single"/>
        </w:rPr>
        <w:tab/>
      </w:r>
      <w:r>
        <w:rPr>
          <w:sz w:val="28"/>
          <w:highlight w:val="none"/>
          <w:u w:val="single"/>
        </w:rPr>
        <w:tab/>
      </w:r>
      <w:r>
        <w:rPr>
          <w:sz w:val="28"/>
          <w:highlight w:val="none"/>
        </w:rPr>
        <w:t>（</w:t>
      </w:r>
      <w:r>
        <w:rPr>
          <w:spacing w:val="-3"/>
          <w:sz w:val="28"/>
          <w:highlight w:val="none"/>
        </w:rPr>
        <w:t>签</w:t>
      </w:r>
      <w:r>
        <w:rPr>
          <w:sz w:val="28"/>
          <w:highlight w:val="none"/>
        </w:rPr>
        <w:t>字</w:t>
      </w:r>
      <w:r>
        <w:rPr>
          <w:spacing w:val="-17"/>
          <w:sz w:val="28"/>
          <w:highlight w:val="none"/>
        </w:rPr>
        <w:t>）</w:t>
      </w:r>
    </w:p>
    <w:p>
      <w:pPr>
        <w:pStyle w:val="11"/>
        <w:spacing w:before="5"/>
        <w:rPr>
          <w:sz w:val="23"/>
          <w:highlight w:val="none"/>
        </w:rPr>
      </w:pPr>
    </w:p>
    <w:p>
      <w:pPr>
        <w:tabs>
          <w:tab w:val="left" w:pos="3931"/>
          <w:tab w:val="left" w:pos="4946"/>
          <w:tab w:val="left" w:pos="5962"/>
        </w:tabs>
        <w:spacing w:before="61"/>
        <w:ind w:left="3197"/>
        <w:rPr>
          <w:sz w:val="28"/>
          <w:highlight w:val="none"/>
        </w:rPr>
      </w:pPr>
      <w:r>
        <w:rPr>
          <w:rFonts w:ascii="Times New Roman" w:eastAsia="Times New Roman"/>
          <w:sz w:val="28"/>
          <w:highlight w:val="none"/>
          <w:u w:val="single"/>
        </w:rPr>
        <w:t xml:space="preserve"> </w:t>
      </w:r>
      <w:r>
        <w:rPr>
          <w:rFonts w:ascii="Times New Roman" w:eastAsia="Times New Roman"/>
          <w:sz w:val="28"/>
          <w:highlight w:val="none"/>
          <w:u w:val="single"/>
        </w:rPr>
        <w:tab/>
      </w:r>
      <w:r>
        <w:rPr>
          <w:sz w:val="28"/>
          <w:highlight w:val="none"/>
        </w:rPr>
        <w:t>年</w:t>
      </w:r>
      <w:r>
        <w:rPr>
          <w:sz w:val="28"/>
          <w:highlight w:val="none"/>
          <w:u w:val="single"/>
        </w:rPr>
        <w:t xml:space="preserve"> </w:t>
      </w:r>
      <w:r>
        <w:rPr>
          <w:sz w:val="28"/>
          <w:highlight w:val="none"/>
          <w:u w:val="single"/>
        </w:rPr>
        <w:tab/>
      </w:r>
      <w:r>
        <w:rPr>
          <w:sz w:val="28"/>
          <w:highlight w:val="none"/>
        </w:rPr>
        <w:t>月</w:t>
      </w:r>
      <w:r>
        <w:rPr>
          <w:sz w:val="28"/>
          <w:highlight w:val="none"/>
          <w:u w:val="single"/>
        </w:rPr>
        <w:t xml:space="preserve"> </w:t>
      </w:r>
      <w:r>
        <w:rPr>
          <w:sz w:val="28"/>
          <w:highlight w:val="none"/>
          <w:u w:val="single"/>
        </w:rPr>
        <w:tab/>
      </w:r>
      <w:r>
        <w:rPr>
          <w:sz w:val="28"/>
          <w:highlight w:val="none"/>
        </w:rPr>
        <w:t>日</w:t>
      </w:r>
    </w:p>
    <w:p>
      <w:pPr>
        <w:rPr>
          <w:sz w:val="28"/>
          <w:highlight w:val="none"/>
        </w:rPr>
        <w:sectPr>
          <w:pgSz w:w="12240" w:h="15840"/>
          <w:pgMar w:top="1500" w:right="1100" w:bottom="1120" w:left="1400" w:header="0" w:footer="841" w:gutter="0"/>
          <w:cols w:space="720" w:num="1"/>
        </w:sectPr>
      </w:pPr>
    </w:p>
    <w:p>
      <w:pPr>
        <w:jc w:val="center"/>
        <w:rPr>
          <w:b/>
          <w:bCs/>
          <w:sz w:val="28"/>
          <w:szCs w:val="28"/>
          <w:highlight w:val="none"/>
        </w:rPr>
      </w:pPr>
      <w:bookmarkStart w:id="214" w:name="_bookmark146"/>
      <w:bookmarkEnd w:id="214"/>
      <w:bookmarkStart w:id="215" w:name="_Toc9274"/>
      <w:r>
        <w:rPr>
          <w:b/>
          <w:bCs/>
          <w:sz w:val="28"/>
          <w:szCs w:val="28"/>
          <w:highlight w:val="none"/>
        </w:rPr>
        <w:t>目录</w:t>
      </w:r>
      <w:bookmarkEnd w:id="215"/>
    </w:p>
    <w:p>
      <w:pPr>
        <w:pStyle w:val="11"/>
        <w:spacing w:before="71"/>
        <w:rPr>
          <w:highlight w:val="none"/>
        </w:rPr>
      </w:pPr>
    </w:p>
    <w:p>
      <w:pPr>
        <w:rPr>
          <w:highlight w:val="none"/>
          <w:lang w:val="en-US"/>
        </w:rPr>
      </w:pPr>
    </w:p>
    <w:p>
      <w:pPr>
        <w:pStyle w:val="28"/>
        <w:tabs>
          <w:tab w:val="left" w:pos="1335"/>
        </w:tabs>
        <w:spacing w:before="131" w:line="192" w:lineRule="auto"/>
        <w:ind w:left="806" w:firstLine="0"/>
        <w:rPr>
          <w:spacing w:val="-3"/>
          <w:sz w:val="21"/>
          <w:highlight w:val="none"/>
          <w:lang w:val="en-US"/>
        </w:rPr>
      </w:pPr>
      <w:r>
        <w:rPr>
          <w:rFonts w:hint="eastAsia"/>
          <w:spacing w:val="-3"/>
          <w:sz w:val="21"/>
          <w:highlight w:val="none"/>
          <w:lang w:val="en-US"/>
        </w:rPr>
        <w:t>第一信封（商务及技术条件）</w:t>
      </w:r>
    </w:p>
    <w:p>
      <w:pPr>
        <w:pStyle w:val="28"/>
        <w:tabs>
          <w:tab w:val="left" w:pos="1335"/>
        </w:tabs>
        <w:spacing w:before="131" w:line="192" w:lineRule="auto"/>
        <w:ind w:left="806" w:firstLine="0"/>
        <w:rPr>
          <w:spacing w:val="-3"/>
          <w:sz w:val="21"/>
          <w:highlight w:val="none"/>
          <w:lang w:val="en-US"/>
        </w:rPr>
      </w:pPr>
      <w:r>
        <w:rPr>
          <w:rFonts w:hint="eastAsia"/>
          <w:spacing w:val="-3"/>
          <w:sz w:val="21"/>
          <w:highlight w:val="none"/>
          <w:lang w:val="en-US"/>
        </w:rPr>
        <w:t>（1）投标函</w:t>
      </w:r>
    </w:p>
    <w:p>
      <w:pPr>
        <w:pStyle w:val="28"/>
        <w:tabs>
          <w:tab w:val="left" w:pos="1335"/>
        </w:tabs>
        <w:spacing w:before="131" w:line="192" w:lineRule="auto"/>
        <w:ind w:left="806" w:firstLine="0"/>
        <w:rPr>
          <w:spacing w:val="-3"/>
          <w:sz w:val="21"/>
          <w:highlight w:val="none"/>
          <w:lang w:val="en-US"/>
        </w:rPr>
      </w:pPr>
      <w:r>
        <w:rPr>
          <w:rFonts w:hint="eastAsia"/>
          <w:spacing w:val="-3"/>
          <w:sz w:val="21"/>
          <w:highlight w:val="none"/>
          <w:lang w:val="en-US"/>
        </w:rPr>
        <w:t>（2）法定代表人身份证明或授权委托书；</w:t>
      </w:r>
    </w:p>
    <w:p>
      <w:pPr>
        <w:pStyle w:val="28"/>
        <w:tabs>
          <w:tab w:val="left" w:pos="1335"/>
        </w:tabs>
        <w:spacing w:before="131" w:line="192" w:lineRule="auto"/>
        <w:ind w:left="806" w:firstLine="0"/>
        <w:rPr>
          <w:spacing w:val="-3"/>
          <w:sz w:val="21"/>
          <w:highlight w:val="none"/>
          <w:lang w:val="en-US"/>
        </w:rPr>
      </w:pPr>
      <w:r>
        <w:rPr>
          <w:rFonts w:hint="eastAsia"/>
          <w:spacing w:val="-3"/>
          <w:sz w:val="21"/>
          <w:highlight w:val="none"/>
          <w:lang w:val="en-US"/>
        </w:rPr>
        <w:t>（3）投标保证金；</w:t>
      </w:r>
    </w:p>
    <w:p>
      <w:pPr>
        <w:pStyle w:val="28"/>
        <w:tabs>
          <w:tab w:val="left" w:pos="1335"/>
        </w:tabs>
        <w:spacing w:before="131" w:line="192" w:lineRule="auto"/>
        <w:ind w:left="806" w:firstLine="0"/>
        <w:rPr>
          <w:spacing w:val="-3"/>
          <w:sz w:val="21"/>
          <w:highlight w:val="none"/>
          <w:lang w:val="en-US"/>
        </w:rPr>
      </w:pPr>
      <w:r>
        <w:rPr>
          <w:rFonts w:hint="eastAsia"/>
          <w:spacing w:val="-3"/>
          <w:sz w:val="21"/>
          <w:highlight w:val="none"/>
          <w:lang w:val="en-US"/>
        </w:rPr>
        <w:t>（4）商务和技术偏差表；</w:t>
      </w:r>
    </w:p>
    <w:p>
      <w:pPr>
        <w:pStyle w:val="28"/>
        <w:tabs>
          <w:tab w:val="left" w:pos="1335"/>
        </w:tabs>
        <w:spacing w:before="131" w:line="192" w:lineRule="auto"/>
        <w:ind w:left="806" w:firstLine="0"/>
        <w:rPr>
          <w:spacing w:val="-3"/>
          <w:sz w:val="21"/>
          <w:highlight w:val="none"/>
          <w:lang w:val="en-US"/>
        </w:rPr>
      </w:pPr>
      <w:r>
        <w:rPr>
          <w:rFonts w:hint="eastAsia"/>
          <w:spacing w:val="-3"/>
          <w:sz w:val="21"/>
          <w:highlight w:val="none"/>
          <w:lang w:val="en-US"/>
        </w:rPr>
        <w:t>（5）资格审查资料；</w:t>
      </w:r>
    </w:p>
    <w:p>
      <w:pPr>
        <w:pStyle w:val="28"/>
        <w:tabs>
          <w:tab w:val="left" w:pos="1335"/>
        </w:tabs>
        <w:spacing w:before="131" w:line="192" w:lineRule="auto"/>
        <w:ind w:left="806" w:firstLine="0"/>
        <w:rPr>
          <w:spacing w:val="-3"/>
          <w:sz w:val="21"/>
          <w:highlight w:val="none"/>
          <w:lang w:val="en-US"/>
        </w:rPr>
      </w:pPr>
      <w:r>
        <w:rPr>
          <w:rFonts w:hint="eastAsia"/>
          <w:spacing w:val="-3"/>
          <w:sz w:val="21"/>
          <w:highlight w:val="none"/>
          <w:lang w:val="en-US"/>
        </w:rPr>
        <w:t>（6）运输计划方案；</w:t>
      </w:r>
    </w:p>
    <w:p>
      <w:pPr>
        <w:pStyle w:val="28"/>
        <w:tabs>
          <w:tab w:val="left" w:pos="1335"/>
        </w:tabs>
        <w:spacing w:before="131" w:line="192" w:lineRule="auto"/>
        <w:ind w:left="806" w:firstLine="0"/>
        <w:rPr>
          <w:spacing w:val="-3"/>
          <w:sz w:val="21"/>
          <w:highlight w:val="none"/>
          <w:lang w:val="en-US"/>
        </w:rPr>
      </w:pPr>
      <w:r>
        <w:rPr>
          <w:rFonts w:hint="eastAsia"/>
          <w:spacing w:val="-3"/>
          <w:sz w:val="21"/>
          <w:highlight w:val="none"/>
          <w:lang w:val="en-US"/>
        </w:rPr>
        <w:t>（7）承诺函</w:t>
      </w:r>
    </w:p>
    <w:p>
      <w:pPr>
        <w:pStyle w:val="28"/>
        <w:tabs>
          <w:tab w:val="left" w:pos="1335"/>
        </w:tabs>
        <w:spacing w:before="131" w:line="192" w:lineRule="auto"/>
        <w:ind w:left="806" w:firstLine="0"/>
        <w:rPr>
          <w:spacing w:val="-3"/>
          <w:sz w:val="21"/>
          <w:highlight w:val="none"/>
          <w:lang w:val="en-US"/>
        </w:rPr>
      </w:pPr>
      <w:r>
        <w:rPr>
          <w:rFonts w:hint="eastAsia"/>
          <w:spacing w:val="-3"/>
          <w:sz w:val="21"/>
          <w:highlight w:val="none"/>
          <w:lang w:val="en-US"/>
        </w:rPr>
        <w:t>（8）其他资料。</w:t>
      </w:r>
    </w:p>
    <w:p>
      <w:pPr>
        <w:pStyle w:val="28"/>
        <w:tabs>
          <w:tab w:val="left" w:pos="1335"/>
        </w:tabs>
        <w:spacing w:before="131" w:line="192" w:lineRule="auto"/>
        <w:ind w:left="0" w:firstLine="0"/>
        <w:rPr>
          <w:spacing w:val="-3"/>
          <w:sz w:val="21"/>
          <w:highlight w:val="none"/>
          <w:lang w:val="en-US"/>
        </w:rPr>
      </w:pPr>
    </w:p>
    <w:p>
      <w:pPr>
        <w:pStyle w:val="28"/>
        <w:tabs>
          <w:tab w:val="left" w:pos="1335"/>
        </w:tabs>
        <w:spacing w:before="131" w:line="192" w:lineRule="auto"/>
        <w:ind w:left="806" w:firstLine="0"/>
        <w:rPr>
          <w:spacing w:val="-3"/>
          <w:sz w:val="21"/>
          <w:highlight w:val="none"/>
          <w:lang w:val="en-US"/>
        </w:rPr>
      </w:pPr>
    </w:p>
    <w:p>
      <w:pPr>
        <w:pStyle w:val="28"/>
        <w:tabs>
          <w:tab w:val="left" w:pos="1335"/>
        </w:tabs>
        <w:spacing w:before="131" w:line="192" w:lineRule="auto"/>
        <w:ind w:left="806" w:firstLine="0"/>
        <w:rPr>
          <w:spacing w:val="-3"/>
          <w:sz w:val="21"/>
          <w:highlight w:val="none"/>
          <w:lang w:val="en-US"/>
        </w:rPr>
      </w:pPr>
      <w:r>
        <w:rPr>
          <w:rFonts w:hint="eastAsia"/>
          <w:spacing w:val="-3"/>
          <w:sz w:val="21"/>
          <w:highlight w:val="none"/>
          <w:lang w:val="en-US"/>
        </w:rPr>
        <w:t>第二信封（报价文件）</w:t>
      </w:r>
    </w:p>
    <w:p>
      <w:pPr>
        <w:pStyle w:val="28"/>
        <w:tabs>
          <w:tab w:val="left" w:pos="1335"/>
        </w:tabs>
        <w:spacing w:before="131" w:line="192" w:lineRule="auto"/>
        <w:ind w:left="806" w:firstLine="0"/>
        <w:rPr>
          <w:spacing w:val="-3"/>
          <w:sz w:val="21"/>
          <w:highlight w:val="none"/>
          <w:lang w:val="en-US"/>
        </w:rPr>
      </w:pPr>
      <w:r>
        <w:rPr>
          <w:rFonts w:hint="eastAsia"/>
          <w:spacing w:val="-3"/>
          <w:sz w:val="21"/>
          <w:highlight w:val="none"/>
          <w:lang w:val="en-US"/>
        </w:rPr>
        <w:t>（1）报价函</w:t>
      </w:r>
    </w:p>
    <w:p>
      <w:pPr>
        <w:pStyle w:val="28"/>
        <w:tabs>
          <w:tab w:val="left" w:pos="1335"/>
        </w:tabs>
        <w:spacing w:before="131" w:line="192" w:lineRule="auto"/>
        <w:ind w:left="806" w:firstLine="0"/>
        <w:rPr>
          <w:spacing w:val="-3"/>
          <w:sz w:val="21"/>
          <w:highlight w:val="none"/>
          <w:lang w:val="en-US"/>
        </w:rPr>
      </w:pPr>
      <w:r>
        <w:rPr>
          <w:rFonts w:hint="eastAsia"/>
          <w:spacing w:val="-3"/>
          <w:sz w:val="21"/>
          <w:highlight w:val="none"/>
          <w:lang w:val="en-US"/>
        </w:rPr>
        <w:t>（2）分项报价表</w:t>
      </w:r>
    </w:p>
    <w:p>
      <w:pPr>
        <w:pStyle w:val="28"/>
        <w:numPr>
          <w:ilvl w:val="0"/>
          <w:numId w:val="22"/>
        </w:numPr>
        <w:tabs>
          <w:tab w:val="left" w:pos="1335"/>
        </w:tabs>
        <w:spacing w:before="131" w:line="192" w:lineRule="auto"/>
        <w:rPr>
          <w:spacing w:val="-3"/>
          <w:sz w:val="21"/>
          <w:highlight w:val="none"/>
        </w:rPr>
        <w:sectPr>
          <w:pgSz w:w="12240" w:h="15840"/>
          <w:pgMar w:top="1400" w:right="1100" w:bottom="1120" w:left="1400" w:header="0" w:footer="841" w:gutter="0"/>
          <w:cols w:space="720" w:num="1"/>
        </w:sectPr>
      </w:pPr>
      <w:r>
        <w:rPr>
          <w:rFonts w:hint="eastAsia"/>
          <w:spacing w:val="-3"/>
          <w:sz w:val="21"/>
          <w:highlight w:val="none"/>
          <w:lang w:val="en-US"/>
        </w:rPr>
        <w:br w:type="page"/>
      </w:r>
    </w:p>
    <w:p>
      <w:pPr>
        <w:pStyle w:val="4"/>
        <w:spacing w:line="525" w:lineRule="exact"/>
        <w:ind w:left="0" w:right="297" w:firstLine="0"/>
        <w:jc w:val="center"/>
        <w:rPr>
          <w:rFonts w:eastAsia="宋体"/>
          <w:sz w:val="36"/>
          <w:szCs w:val="36"/>
          <w:highlight w:val="none"/>
          <w:lang w:val="en-US"/>
        </w:rPr>
      </w:pPr>
      <w:bookmarkStart w:id="216" w:name="_bookmark148"/>
      <w:bookmarkEnd w:id="216"/>
      <w:bookmarkStart w:id="217" w:name="_bookmark147"/>
      <w:bookmarkEnd w:id="217"/>
      <w:bookmarkStart w:id="218" w:name="_Toc6048"/>
      <w:bookmarkStart w:id="219" w:name="_Toc9322"/>
      <w:r>
        <w:rPr>
          <w:rFonts w:hint="eastAsia" w:eastAsia="宋体"/>
          <w:sz w:val="36"/>
          <w:szCs w:val="36"/>
          <w:highlight w:val="none"/>
          <w:lang w:val="en-US"/>
        </w:rPr>
        <w:t>第一信封</w:t>
      </w:r>
      <w:bookmarkEnd w:id="218"/>
    </w:p>
    <w:p>
      <w:pPr>
        <w:pStyle w:val="4"/>
        <w:jc w:val="center"/>
        <w:rPr>
          <w:rFonts w:ascii="Times New Roman" w:hAnsi="Times New Roman"/>
          <w:highlight w:val="none"/>
        </w:rPr>
      </w:pPr>
      <w:r>
        <w:rPr>
          <w:rFonts w:hint="eastAsia" w:eastAsia="宋体"/>
          <w:sz w:val="36"/>
          <w:szCs w:val="36"/>
          <w:highlight w:val="none"/>
          <w:lang w:val="en-US"/>
        </w:rPr>
        <w:br w:type="page"/>
      </w:r>
      <w:bookmarkStart w:id="220" w:name="_Toc23791"/>
      <w:bookmarkStart w:id="221" w:name="_Toc491883231"/>
      <w:bookmarkStart w:id="222" w:name="_Toc24845"/>
      <w:r>
        <w:rPr>
          <w:rFonts w:ascii="Times New Roman" w:hAnsi="Times New Roman"/>
          <w:highlight w:val="none"/>
        </w:rPr>
        <w:t>一、投标</w:t>
      </w:r>
      <w:bookmarkStart w:id="223" w:name="_Toc352691656"/>
      <w:bookmarkStart w:id="224" w:name="_Toc6931"/>
      <w:bookmarkStart w:id="225" w:name="_Toc369531692"/>
      <w:r>
        <w:rPr>
          <w:rFonts w:ascii="Times New Roman" w:hAnsi="Times New Roman"/>
          <w:highlight w:val="none"/>
        </w:rPr>
        <w:t>函</w:t>
      </w:r>
      <w:bookmarkEnd w:id="220"/>
      <w:bookmarkEnd w:id="221"/>
      <w:bookmarkEnd w:id="222"/>
    </w:p>
    <w:bookmarkEnd w:id="223"/>
    <w:bookmarkEnd w:id="224"/>
    <w:bookmarkEnd w:id="225"/>
    <w:p>
      <w:pPr>
        <w:pStyle w:val="11"/>
        <w:spacing w:line="500" w:lineRule="exact"/>
        <w:rPr>
          <w:sz w:val="22"/>
          <w:szCs w:val="22"/>
          <w:highlight w:val="none"/>
        </w:rPr>
      </w:pPr>
      <w:r>
        <w:rPr>
          <w:rFonts w:hint="eastAsia"/>
          <w:sz w:val="22"/>
          <w:szCs w:val="22"/>
          <w:highlight w:val="none"/>
        </w:rPr>
        <w:t>致：</w:t>
      </w:r>
      <w:r>
        <w:rPr>
          <w:rFonts w:hint="eastAsia"/>
          <w:sz w:val="22"/>
          <w:szCs w:val="22"/>
          <w:highlight w:val="none"/>
          <w:u w:val="single"/>
        </w:rPr>
        <w:t xml:space="preserve"> （</w:t>
      </w:r>
      <w:r>
        <w:rPr>
          <w:rFonts w:hint="eastAsia"/>
          <w:sz w:val="22"/>
          <w:szCs w:val="22"/>
          <w:highlight w:val="none"/>
          <w:u w:val="single"/>
          <w:lang w:val="en-US"/>
        </w:rPr>
        <w:t>招标人名称</w:t>
      </w:r>
      <w:r>
        <w:rPr>
          <w:rFonts w:hint="eastAsia"/>
          <w:sz w:val="22"/>
          <w:szCs w:val="22"/>
          <w:highlight w:val="none"/>
          <w:u w:val="single"/>
        </w:rPr>
        <w:t xml:space="preserve">） </w:t>
      </w:r>
    </w:p>
    <w:p>
      <w:pPr>
        <w:pStyle w:val="11"/>
        <w:tabs>
          <w:tab w:val="left" w:pos="2738"/>
          <w:tab w:val="left" w:pos="5378"/>
        </w:tabs>
        <w:spacing w:before="8" w:line="500" w:lineRule="exact"/>
        <w:ind w:right="532" w:firstLine="596" w:firstLineChars="271"/>
        <w:jc w:val="both"/>
        <w:rPr>
          <w:sz w:val="22"/>
          <w:szCs w:val="22"/>
          <w:highlight w:val="none"/>
        </w:rPr>
      </w:pPr>
      <w:r>
        <w:rPr>
          <w:rFonts w:hint="eastAsia"/>
          <w:sz w:val="22"/>
          <w:szCs w:val="22"/>
          <w:highlight w:val="none"/>
        </w:rPr>
        <w:t>我方已经仔细阅读招标文件</w:t>
      </w:r>
      <w:r>
        <w:rPr>
          <w:rFonts w:hint="eastAsia"/>
          <w:spacing w:val="-3"/>
          <w:sz w:val="22"/>
          <w:szCs w:val="22"/>
          <w:highlight w:val="none"/>
        </w:rPr>
        <w:t>，</w:t>
      </w:r>
      <w:r>
        <w:rPr>
          <w:rFonts w:hint="eastAsia"/>
          <w:sz w:val="22"/>
          <w:szCs w:val="22"/>
          <w:highlight w:val="none"/>
        </w:rPr>
        <w:t>同意招标人在招标文件中对投标方的约束。我方愿意参加</w:t>
      </w:r>
      <w:r>
        <w:rPr>
          <w:rFonts w:hint="eastAsia"/>
          <w:sz w:val="22"/>
          <w:szCs w:val="22"/>
          <w:highlight w:val="none"/>
          <w:u w:val="single"/>
        </w:rPr>
        <w:t>（</w:t>
      </w:r>
      <w:r>
        <w:rPr>
          <w:rFonts w:hint="eastAsia"/>
          <w:sz w:val="22"/>
          <w:szCs w:val="22"/>
          <w:highlight w:val="none"/>
          <w:u w:val="single"/>
          <w:lang w:val="en-US"/>
        </w:rPr>
        <w:t>项目名称</w:t>
      </w:r>
      <w:r>
        <w:rPr>
          <w:rFonts w:hint="eastAsia"/>
          <w:sz w:val="22"/>
          <w:szCs w:val="22"/>
          <w:highlight w:val="none"/>
          <w:u w:val="single"/>
        </w:rPr>
        <w:t>）</w:t>
      </w:r>
      <w:r>
        <w:rPr>
          <w:rFonts w:hint="eastAsia"/>
          <w:sz w:val="22"/>
          <w:szCs w:val="22"/>
          <w:highlight w:val="none"/>
        </w:rPr>
        <w:t>的投标</w:t>
      </w:r>
      <w:r>
        <w:rPr>
          <w:rFonts w:hint="eastAsia"/>
          <w:spacing w:val="-3"/>
          <w:sz w:val="22"/>
          <w:szCs w:val="22"/>
          <w:highlight w:val="none"/>
        </w:rPr>
        <w:t>，</w:t>
      </w:r>
      <w:r>
        <w:rPr>
          <w:rFonts w:hint="eastAsia"/>
          <w:sz w:val="22"/>
          <w:szCs w:val="22"/>
          <w:highlight w:val="none"/>
        </w:rPr>
        <w:t>并已按照招标文件中要求的内容和格式充分、如实</w:t>
      </w:r>
      <w:r>
        <w:rPr>
          <w:rFonts w:hint="eastAsia"/>
          <w:spacing w:val="-3"/>
          <w:sz w:val="22"/>
          <w:szCs w:val="22"/>
          <w:highlight w:val="none"/>
        </w:rPr>
        <w:t>、</w:t>
      </w:r>
      <w:r>
        <w:rPr>
          <w:rFonts w:hint="eastAsia"/>
          <w:sz w:val="22"/>
          <w:szCs w:val="22"/>
          <w:highlight w:val="none"/>
        </w:rPr>
        <w:t>准确地向贵方递交投标文件（正本一份，副本一份）</w:t>
      </w:r>
      <w:r>
        <w:rPr>
          <w:rFonts w:hint="eastAsia"/>
          <w:spacing w:val="-3"/>
          <w:sz w:val="22"/>
          <w:szCs w:val="22"/>
          <w:highlight w:val="none"/>
        </w:rPr>
        <w:t>，</w:t>
      </w:r>
      <w:r>
        <w:rPr>
          <w:rFonts w:hint="eastAsia"/>
          <w:sz w:val="22"/>
          <w:szCs w:val="22"/>
          <w:highlight w:val="none"/>
        </w:rPr>
        <w:t>若中标我方将以此作为提供服务必须严格遵循的合同条件的组成部分</w:t>
      </w:r>
      <w:r>
        <w:rPr>
          <w:rFonts w:hint="eastAsia"/>
          <w:spacing w:val="-8"/>
          <w:sz w:val="22"/>
          <w:szCs w:val="22"/>
          <w:highlight w:val="none"/>
        </w:rPr>
        <w:t>，</w:t>
      </w:r>
      <w:r>
        <w:rPr>
          <w:rFonts w:hint="eastAsia"/>
          <w:sz w:val="22"/>
          <w:szCs w:val="22"/>
          <w:highlight w:val="none"/>
        </w:rPr>
        <w:t>并愿按第二个信</w:t>
      </w:r>
      <w:r>
        <w:rPr>
          <w:rFonts w:hint="eastAsia"/>
          <w:spacing w:val="-3"/>
          <w:sz w:val="22"/>
          <w:szCs w:val="22"/>
          <w:highlight w:val="none"/>
        </w:rPr>
        <w:t>封</w:t>
      </w:r>
      <w:r>
        <w:rPr>
          <w:rFonts w:hint="eastAsia"/>
          <w:sz w:val="22"/>
          <w:szCs w:val="22"/>
          <w:highlight w:val="none"/>
        </w:rPr>
        <w:t>（投标报价文件</w:t>
      </w:r>
      <w:r>
        <w:rPr>
          <w:rFonts w:hint="eastAsia"/>
          <w:spacing w:val="-3"/>
          <w:sz w:val="22"/>
          <w:szCs w:val="22"/>
          <w:highlight w:val="none"/>
        </w:rPr>
        <w:t>）</w:t>
      </w:r>
      <w:r>
        <w:rPr>
          <w:rFonts w:hint="eastAsia"/>
          <w:sz w:val="22"/>
          <w:szCs w:val="22"/>
          <w:highlight w:val="none"/>
        </w:rPr>
        <w:t>中投标报价函上标明的投标</w:t>
      </w:r>
      <w:r>
        <w:rPr>
          <w:rFonts w:hint="eastAsia"/>
          <w:sz w:val="22"/>
          <w:szCs w:val="22"/>
          <w:highlight w:val="none"/>
          <w:lang w:val="en-US"/>
        </w:rPr>
        <w:t>价格</w:t>
      </w:r>
      <w:r>
        <w:rPr>
          <w:rFonts w:hint="eastAsia"/>
          <w:sz w:val="22"/>
          <w:szCs w:val="22"/>
          <w:highlight w:val="none"/>
        </w:rPr>
        <w:t>履行合同。</w:t>
      </w:r>
    </w:p>
    <w:p>
      <w:pPr>
        <w:pStyle w:val="11"/>
        <w:spacing w:line="500" w:lineRule="exact"/>
        <w:ind w:right="532" w:firstLine="480"/>
        <w:jc w:val="both"/>
        <w:rPr>
          <w:sz w:val="22"/>
          <w:szCs w:val="22"/>
          <w:highlight w:val="none"/>
        </w:rPr>
      </w:pPr>
      <w:r>
        <w:rPr>
          <w:rFonts w:hint="eastAsia"/>
          <w:sz w:val="22"/>
          <w:szCs w:val="22"/>
          <w:highlight w:val="none"/>
        </w:rPr>
        <w:t>我方保证，如果我方的投标被接受，将严格执行招标文件中的各项条款，认真履行卖方的责任及义务，兑现我方投标文件中提出的各项承诺。</w:t>
      </w:r>
    </w:p>
    <w:p>
      <w:pPr>
        <w:pStyle w:val="11"/>
        <w:spacing w:line="560" w:lineRule="exact"/>
        <w:ind w:right="530" w:firstLine="480"/>
        <w:jc w:val="both"/>
        <w:rPr>
          <w:sz w:val="22"/>
          <w:szCs w:val="22"/>
          <w:highlight w:val="none"/>
        </w:rPr>
      </w:pPr>
      <w:r>
        <w:rPr>
          <w:rFonts w:hint="eastAsia"/>
          <w:sz w:val="22"/>
          <w:szCs w:val="22"/>
          <w:highlight w:val="none"/>
        </w:rPr>
        <w:t>我方同意投标文件在投标人须知规定的递标截止日期起</w:t>
      </w:r>
      <w:r>
        <w:rPr>
          <w:rFonts w:hint="eastAsia"/>
          <w:sz w:val="22"/>
          <w:szCs w:val="22"/>
          <w:highlight w:val="none"/>
          <w:lang w:val="en-US"/>
        </w:rPr>
        <w:t>90</w:t>
      </w:r>
      <w:r>
        <w:rPr>
          <w:rFonts w:hint="eastAsia"/>
          <w:sz w:val="22"/>
          <w:szCs w:val="22"/>
          <w:highlight w:val="none"/>
        </w:rPr>
        <w:t>天内有效，对我方具有约束力，并可随时接受中标。我方慎重保证，投标文件的所有内容及提供给招标人的所有证明文件和资料是真实的、准确的，一旦发现上述资料和信息的失实和错误，贵方将有权宣布本单位投标作废。</w:t>
      </w:r>
    </w:p>
    <w:p>
      <w:pPr>
        <w:spacing w:line="560" w:lineRule="exact"/>
        <w:ind w:firstLine="660" w:firstLineChars="300"/>
        <w:rPr>
          <w:highlight w:val="none"/>
        </w:rPr>
      </w:pPr>
      <w:r>
        <w:rPr>
          <w:rFonts w:hint="eastAsia"/>
          <w:highlight w:val="none"/>
        </w:rPr>
        <w:t>在正式合同准备签订或执行之前，本投标函、招标人的书面通知及中标通知书将构成约束我们双方的合同。我方理解招标人不一定接受最低价或收到的任何投标文件。</w:t>
      </w:r>
    </w:p>
    <w:p>
      <w:pPr>
        <w:rPr>
          <w:sz w:val="24"/>
          <w:szCs w:val="24"/>
          <w:highlight w:val="none"/>
        </w:rPr>
      </w:pPr>
    </w:p>
    <w:p>
      <w:pPr>
        <w:jc w:val="right"/>
        <w:rPr>
          <w:szCs w:val="24"/>
          <w:highlight w:val="none"/>
          <w:lang w:val="en-US"/>
        </w:rPr>
      </w:pPr>
      <w:r>
        <w:rPr>
          <w:rFonts w:hint="eastAsia"/>
          <w:szCs w:val="24"/>
          <w:highlight w:val="none"/>
          <w:lang w:val="en-US"/>
        </w:rPr>
        <w:t xml:space="preserve">                                     </w:t>
      </w:r>
    </w:p>
    <w:p>
      <w:pPr>
        <w:jc w:val="right"/>
        <w:rPr>
          <w:sz w:val="24"/>
          <w:szCs w:val="24"/>
          <w:highlight w:val="none"/>
        </w:rPr>
      </w:pPr>
      <w:r>
        <w:rPr>
          <w:rFonts w:hint="eastAsia"/>
          <w:szCs w:val="24"/>
          <w:highlight w:val="none"/>
          <w:lang w:val="en-US"/>
        </w:rPr>
        <w:t xml:space="preserve">  </w:t>
      </w:r>
      <w:r>
        <w:rPr>
          <w:rFonts w:hint="eastAsia"/>
          <w:sz w:val="24"/>
          <w:szCs w:val="24"/>
          <w:highlight w:val="none"/>
        </w:rPr>
        <w:t>投标人名称（公章）：</w:t>
      </w:r>
      <w:r>
        <w:rPr>
          <w:rFonts w:hint="eastAsia"/>
          <w:sz w:val="24"/>
          <w:szCs w:val="24"/>
          <w:highlight w:val="none"/>
          <w:u w:val="single"/>
        </w:rPr>
        <w:t xml:space="preserve"> </w:t>
      </w:r>
    </w:p>
    <w:p>
      <w:pPr>
        <w:jc w:val="right"/>
        <w:rPr>
          <w:sz w:val="24"/>
          <w:szCs w:val="24"/>
          <w:highlight w:val="none"/>
        </w:rPr>
      </w:pPr>
      <w:r>
        <w:rPr>
          <w:rFonts w:hint="eastAsia"/>
          <w:sz w:val="24"/>
          <w:szCs w:val="24"/>
          <w:highlight w:val="none"/>
          <w:lang w:val="en-US"/>
        </w:rPr>
        <w:t xml:space="preserve">                                    </w:t>
      </w:r>
      <w:r>
        <w:rPr>
          <w:rFonts w:hint="eastAsia"/>
          <w:sz w:val="24"/>
          <w:szCs w:val="24"/>
          <w:highlight w:val="none"/>
        </w:rPr>
        <w:t>法定代表人或其委托代理人签字：</w:t>
      </w:r>
      <w:r>
        <w:rPr>
          <w:rFonts w:hint="eastAsia"/>
          <w:sz w:val="24"/>
          <w:szCs w:val="24"/>
          <w:highlight w:val="none"/>
          <w:u w:val="single"/>
        </w:rPr>
        <w:t xml:space="preserve"> </w:t>
      </w:r>
      <w:r>
        <w:rPr>
          <w:rFonts w:hint="eastAsia"/>
          <w:sz w:val="24"/>
          <w:szCs w:val="24"/>
          <w:highlight w:val="none"/>
          <w:u w:val="single"/>
          <w:lang w:val="en-US"/>
        </w:rPr>
        <w:t xml:space="preserve">              </w:t>
      </w:r>
      <w:r>
        <w:rPr>
          <w:rFonts w:hint="eastAsia"/>
          <w:sz w:val="24"/>
          <w:szCs w:val="24"/>
          <w:highlight w:val="none"/>
          <w:lang w:val="en-US"/>
        </w:rPr>
        <w:t xml:space="preserve">                        </w:t>
      </w:r>
    </w:p>
    <w:p>
      <w:pPr>
        <w:rPr>
          <w:sz w:val="24"/>
          <w:szCs w:val="24"/>
          <w:highlight w:val="none"/>
          <w:lang w:val="en-US"/>
        </w:rPr>
      </w:pPr>
      <w:r>
        <w:rPr>
          <w:rFonts w:hint="eastAsia"/>
          <w:sz w:val="24"/>
          <w:szCs w:val="24"/>
          <w:highlight w:val="none"/>
          <w:lang w:val="en-US"/>
        </w:rPr>
        <w:t xml:space="preserve"> </w:t>
      </w:r>
      <w:r>
        <w:rPr>
          <w:rFonts w:hint="eastAsia"/>
          <w:sz w:val="24"/>
          <w:szCs w:val="24"/>
          <w:highlight w:val="none"/>
        </w:rPr>
        <w:t xml:space="preserve"> </w:t>
      </w:r>
      <w:r>
        <w:rPr>
          <w:rFonts w:hint="eastAsia"/>
          <w:sz w:val="24"/>
          <w:szCs w:val="24"/>
          <w:highlight w:val="none"/>
          <w:lang w:val="en-US"/>
        </w:rPr>
        <w:t xml:space="preserve">                                                                   </w:t>
      </w:r>
    </w:p>
    <w:p>
      <w:pPr>
        <w:rPr>
          <w:rFonts w:ascii="Times New Roman" w:hAnsi="Times New Roman"/>
          <w:szCs w:val="21"/>
          <w:highlight w:val="none"/>
        </w:rPr>
      </w:pPr>
      <w:r>
        <w:rPr>
          <w:rFonts w:hint="eastAsia"/>
          <w:sz w:val="24"/>
          <w:szCs w:val="24"/>
          <w:highlight w:val="none"/>
          <w:lang w:val="en-US"/>
        </w:rPr>
        <w:t xml:space="preserve">                                                  </w:t>
      </w:r>
      <w:r>
        <w:rPr>
          <w:rFonts w:hint="eastAsia"/>
          <w:sz w:val="24"/>
          <w:szCs w:val="24"/>
          <w:highlight w:val="none"/>
          <w:u w:val="single"/>
          <w:lang w:val="en-US"/>
        </w:rPr>
        <w:t xml:space="preserve">      </w:t>
      </w:r>
      <w:r>
        <w:rPr>
          <w:rFonts w:hint="eastAsia"/>
          <w:sz w:val="24"/>
          <w:szCs w:val="24"/>
          <w:highlight w:val="none"/>
        </w:rPr>
        <w:t>年</w:t>
      </w:r>
      <w:r>
        <w:rPr>
          <w:rFonts w:hint="eastAsia"/>
          <w:sz w:val="24"/>
          <w:szCs w:val="24"/>
          <w:highlight w:val="none"/>
          <w:u w:val="single"/>
          <w:lang w:val="en-US"/>
        </w:rPr>
        <w:t xml:space="preserve">     </w:t>
      </w:r>
      <w:r>
        <w:rPr>
          <w:rFonts w:hint="eastAsia"/>
          <w:sz w:val="24"/>
          <w:szCs w:val="24"/>
          <w:highlight w:val="none"/>
        </w:rPr>
        <w:t>月</w:t>
      </w:r>
      <w:r>
        <w:rPr>
          <w:rFonts w:hint="eastAsia"/>
          <w:b/>
          <w:bCs/>
          <w:sz w:val="24"/>
          <w:szCs w:val="24"/>
          <w:highlight w:val="none"/>
          <w:u w:val="single"/>
          <w:lang w:val="en-US"/>
        </w:rPr>
        <w:t xml:space="preserve">     </w:t>
      </w:r>
      <w:r>
        <w:rPr>
          <w:rFonts w:hint="eastAsia"/>
          <w:sz w:val="24"/>
          <w:szCs w:val="24"/>
          <w:highlight w:val="none"/>
        </w:rPr>
        <w:t>日</w:t>
      </w:r>
    </w:p>
    <w:p>
      <w:pPr>
        <w:rPr>
          <w:sz w:val="36"/>
          <w:szCs w:val="36"/>
          <w:highlight w:val="none"/>
          <w:lang w:val="en-US"/>
        </w:rPr>
      </w:pPr>
    </w:p>
    <w:p>
      <w:pPr>
        <w:rPr>
          <w:highlight w:val="none"/>
          <w:lang w:val="en-US"/>
        </w:rPr>
      </w:pPr>
      <w:r>
        <w:rPr>
          <w:rFonts w:hint="eastAsia"/>
          <w:highlight w:val="none"/>
          <w:lang w:val="en-US"/>
        </w:rPr>
        <w:br w:type="page"/>
      </w:r>
    </w:p>
    <w:p>
      <w:pPr>
        <w:pStyle w:val="4"/>
        <w:spacing w:line="525" w:lineRule="exact"/>
        <w:ind w:left="0" w:firstLine="0"/>
        <w:jc w:val="center"/>
        <w:rPr>
          <w:highlight w:val="none"/>
        </w:rPr>
      </w:pPr>
      <w:bookmarkStart w:id="226" w:name="_Toc27319"/>
      <w:r>
        <w:rPr>
          <w:rFonts w:hint="eastAsia" w:eastAsia="宋体"/>
          <w:highlight w:val="none"/>
          <w:lang w:val="en-US"/>
        </w:rPr>
        <w:t>二</w:t>
      </w:r>
      <w:r>
        <w:rPr>
          <w:highlight w:val="none"/>
        </w:rPr>
        <w:t>、</w:t>
      </w:r>
      <w:bookmarkEnd w:id="219"/>
      <w:r>
        <w:rPr>
          <w:highlight w:val="none"/>
        </w:rPr>
        <w:t>法定代表人（单位负责人）身份证明</w:t>
      </w:r>
      <w:bookmarkEnd w:id="226"/>
    </w:p>
    <w:p>
      <w:pPr>
        <w:pStyle w:val="11"/>
        <w:rPr>
          <w:rFonts w:ascii="Microsoft JhengHei"/>
          <w:b/>
          <w:sz w:val="32"/>
          <w:highlight w:val="none"/>
        </w:rPr>
      </w:pPr>
    </w:p>
    <w:p>
      <w:pPr>
        <w:pStyle w:val="11"/>
        <w:rPr>
          <w:rFonts w:ascii="Microsoft JhengHei"/>
          <w:b/>
          <w:sz w:val="32"/>
          <w:highlight w:val="none"/>
        </w:rPr>
      </w:pPr>
    </w:p>
    <w:p>
      <w:pPr>
        <w:pStyle w:val="11"/>
        <w:spacing w:before="3"/>
        <w:rPr>
          <w:rFonts w:ascii="Microsoft JhengHei"/>
          <w:b/>
          <w:sz w:val="18"/>
          <w:highlight w:val="none"/>
        </w:rPr>
      </w:pPr>
    </w:p>
    <w:p>
      <w:pPr>
        <w:pStyle w:val="11"/>
        <w:tabs>
          <w:tab w:val="left" w:pos="4228"/>
        </w:tabs>
        <w:spacing w:line="600" w:lineRule="auto"/>
        <w:ind w:left="400"/>
        <w:rPr>
          <w:rFonts w:ascii="Times New Roman" w:eastAsia="Times New Roman"/>
          <w:highlight w:val="none"/>
        </w:rPr>
      </w:pPr>
      <w:r>
        <w:rPr>
          <w:spacing w:val="-1"/>
          <w:highlight w:val="none"/>
        </w:rPr>
        <w:t>投</w:t>
      </w:r>
      <w:r>
        <w:rPr>
          <w:highlight w:val="none"/>
        </w:rPr>
        <w:t>标</w:t>
      </w:r>
      <w:r>
        <w:rPr>
          <w:spacing w:val="-3"/>
          <w:highlight w:val="none"/>
        </w:rPr>
        <w:t>人</w:t>
      </w:r>
      <w:r>
        <w:rPr>
          <w:highlight w:val="none"/>
        </w:rPr>
        <w:t>名</w:t>
      </w:r>
      <w:r>
        <w:rPr>
          <w:spacing w:val="-3"/>
          <w:highlight w:val="none"/>
        </w:rPr>
        <w:t>称</w:t>
      </w:r>
      <w:r>
        <w:rPr>
          <w:highlight w:val="none"/>
        </w:rPr>
        <w:t>：</w:t>
      </w:r>
      <w:r>
        <w:rPr>
          <w:rFonts w:ascii="Times New Roman" w:eastAsia="Times New Roman"/>
          <w:highlight w:val="none"/>
          <w:u w:val="single"/>
        </w:rPr>
        <w:t xml:space="preserve"> </w:t>
      </w:r>
      <w:r>
        <w:rPr>
          <w:rFonts w:ascii="Times New Roman" w:eastAsia="Times New Roman"/>
          <w:highlight w:val="none"/>
          <w:u w:val="single"/>
        </w:rPr>
        <w:tab/>
      </w:r>
    </w:p>
    <w:p>
      <w:pPr>
        <w:pStyle w:val="11"/>
        <w:tabs>
          <w:tab w:val="left" w:pos="2712"/>
          <w:tab w:val="left" w:pos="4183"/>
          <w:tab w:val="left" w:pos="5652"/>
          <w:tab w:val="left" w:pos="7169"/>
        </w:tabs>
        <w:spacing w:before="170" w:line="600" w:lineRule="auto"/>
        <w:ind w:left="400"/>
        <w:rPr>
          <w:rFonts w:ascii="Times New Roman" w:eastAsia="Times New Roman"/>
          <w:highlight w:val="none"/>
        </w:rPr>
      </w:pPr>
      <w:r>
        <w:rPr>
          <w:highlight w:val="none"/>
        </w:rPr>
        <w:t>姓名</w:t>
      </w:r>
      <w:r>
        <w:rPr>
          <w:spacing w:val="-3"/>
          <w:highlight w:val="none"/>
        </w:rPr>
        <w:t>：</w:t>
      </w:r>
      <w:r>
        <w:rPr>
          <w:spacing w:val="-3"/>
          <w:highlight w:val="none"/>
          <w:u w:val="single"/>
        </w:rPr>
        <w:t xml:space="preserve"> </w:t>
      </w:r>
      <w:r>
        <w:rPr>
          <w:spacing w:val="-3"/>
          <w:highlight w:val="none"/>
          <w:u w:val="single"/>
        </w:rPr>
        <w:tab/>
      </w:r>
      <w:r>
        <w:rPr>
          <w:highlight w:val="none"/>
        </w:rPr>
        <w:t>性别</w:t>
      </w:r>
      <w:r>
        <w:rPr>
          <w:spacing w:val="-3"/>
          <w:highlight w:val="none"/>
        </w:rPr>
        <w:t>：</w:t>
      </w:r>
      <w:r>
        <w:rPr>
          <w:spacing w:val="-3"/>
          <w:highlight w:val="none"/>
          <w:u w:val="single"/>
        </w:rPr>
        <w:t xml:space="preserve"> </w:t>
      </w:r>
      <w:r>
        <w:rPr>
          <w:spacing w:val="-3"/>
          <w:highlight w:val="none"/>
          <w:u w:val="single"/>
        </w:rPr>
        <w:tab/>
      </w:r>
      <w:r>
        <w:rPr>
          <w:rFonts w:hint="eastAsia"/>
          <w:spacing w:val="-3"/>
          <w:highlight w:val="none"/>
          <w:u w:val="single"/>
          <w:lang w:val="en-US"/>
        </w:rPr>
        <w:t xml:space="preserve">   </w:t>
      </w:r>
      <w:r>
        <w:rPr>
          <w:highlight w:val="none"/>
        </w:rPr>
        <w:t>年</w:t>
      </w:r>
      <w:r>
        <w:rPr>
          <w:spacing w:val="-3"/>
          <w:highlight w:val="none"/>
        </w:rPr>
        <w:t>龄</w:t>
      </w:r>
      <w:r>
        <w:rPr>
          <w:highlight w:val="none"/>
        </w:rPr>
        <w:t>：</w:t>
      </w:r>
      <w:r>
        <w:rPr>
          <w:highlight w:val="none"/>
          <w:u w:val="single"/>
        </w:rPr>
        <w:t xml:space="preserve"> </w:t>
      </w:r>
      <w:r>
        <w:rPr>
          <w:highlight w:val="none"/>
          <w:u w:val="single"/>
        </w:rPr>
        <w:tab/>
      </w:r>
      <w:r>
        <w:rPr>
          <w:spacing w:val="-1"/>
          <w:highlight w:val="none"/>
        </w:rPr>
        <w:t>职</w:t>
      </w:r>
      <w:r>
        <w:rPr>
          <w:spacing w:val="-3"/>
          <w:highlight w:val="none"/>
        </w:rPr>
        <w:t>务</w:t>
      </w:r>
      <w:r>
        <w:rPr>
          <w:highlight w:val="none"/>
        </w:rPr>
        <w:t>：</w:t>
      </w:r>
      <w:r>
        <w:rPr>
          <w:rFonts w:ascii="Times New Roman" w:eastAsia="Times New Roman"/>
          <w:highlight w:val="none"/>
          <w:u w:val="single"/>
        </w:rPr>
        <w:t xml:space="preserve"> </w:t>
      </w:r>
      <w:r>
        <w:rPr>
          <w:rFonts w:ascii="Times New Roman" w:eastAsia="Times New Roman"/>
          <w:highlight w:val="none"/>
          <w:u w:val="single"/>
        </w:rPr>
        <w:tab/>
      </w:r>
    </w:p>
    <w:p>
      <w:pPr>
        <w:pStyle w:val="11"/>
        <w:tabs>
          <w:tab w:val="left" w:pos="3132"/>
        </w:tabs>
        <w:spacing w:before="173" w:line="600" w:lineRule="auto"/>
        <w:ind w:left="400"/>
        <w:rPr>
          <w:highlight w:val="none"/>
        </w:rPr>
      </w:pPr>
      <w:r>
        <w:rPr>
          <w:highlight w:val="none"/>
        </w:rPr>
        <w:t>系</w:t>
      </w:r>
      <w:r>
        <w:rPr>
          <w:highlight w:val="none"/>
          <w:u w:val="single"/>
        </w:rPr>
        <w:t xml:space="preserve"> </w:t>
      </w:r>
      <w:r>
        <w:rPr>
          <w:highlight w:val="none"/>
          <w:u w:val="single"/>
        </w:rPr>
        <w:tab/>
      </w:r>
      <w:r>
        <w:rPr>
          <w:spacing w:val="-3"/>
          <w:highlight w:val="none"/>
        </w:rPr>
        <w:t>（</w:t>
      </w:r>
      <w:r>
        <w:rPr>
          <w:highlight w:val="none"/>
        </w:rPr>
        <w:t>投</w:t>
      </w:r>
      <w:r>
        <w:rPr>
          <w:spacing w:val="-3"/>
          <w:highlight w:val="none"/>
        </w:rPr>
        <w:t>标</w:t>
      </w:r>
      <w:r>
        <w:rPr>
          <w:highlight w:val="none"/>
        </w:rPr>
        <w:t>人</w:t>
      </w:r>
      <w:r>
        <w:rPr>
          <w:spacing w:val="-3"/>
          <w:highlight w:val="none"/>
        </w:rPr>
        <w:t>名</w:t>
      </w:r>
      <w:r>
        <w:rPr>
          <w:highlight w:val="none"/>
        </w:rPr>
        <w:t>称</w:t>
      </w:r>
      <w:r>
        <w:rPr>
          <w:spacing w:val="-3"/>
          <w:highlight w:val="none"/>
        </w:rPr>
        <w:t>）</w:t>
      </w:r>
      <w:r>
        <w:rPr>
          <w:highlight w:val="none"/>
        </w:rPr>
        <w:t>的</w:t>
      </w:r>
      <w:r>
        <w:rPr>
          <w:spacing w:val="-3"/>
          <w:highlight w:val="none"/>
        </w:rPr>
        <w:t>法定</w:t>
      </w:r>
      <w:r>
        <w:rPr>
          <w:highlight w:val="none"/>
        </w:rPr>
        <w:t>代表</w:t>
      </w:r>
      <w:r>
        <w:rPr>
          <w:spacing w:val="-3"/>
          <w:highlight w:val="none"/>
        </w:rPr>
        <w:t>人</w:t>
      </w:r>
      <w:r>
        <w:rPr>
          <w:highlight w:val="none"/>
        </w:rPr>
        <w:t>（</w:t>
      </w:r>
      <w:r>
        <w:rPr>
          <w:spacing w:val="-3"/>
          <w:highlight w:val="none"/>
        </w:rPr>
        <w:t>单</w:t>
      </w:r>
      <w:r>
        <w:rPr>
          <w:highlight w:val="none"/>
        </w:rPr>
        <w:t>位</w:t>
      </w:r>
      <w:r>
        <w:rPr>
          <w:spacing w:val="-3"/>
          <w:highlight w:val="none"/>
        </w:rPr>
        <w:t>负</w:t>
      </w:r>
      <w:r>
        <w:rPr>
          <w:highlight w:val="none"/>
        </w:rPr>
        <w:t>责</w:t>
      </w:r>
      <w:r>
        <w:rPr>
          <w:spacing w:val="-3"/>
          <w:highlight w:val="none"/>
        </w:rPr>
        <w:t>人</w:t>
      </w:r>
      <w:r>
        <w:rPr>
          <w:spacing w:val="-106"/>
          <w:highlight w:val="none"/>
        </w:rPr>
        <w:t>）</w:t>
      </w:r>
      <w:r>
        <w:rPr>
          <w:highlight w:val="none"/>
        </w:rPr>
        <w:t>。</w:t>
      </w:r>
    </w:p>
    <w:p>
      <w:pPr>
        <w:pStyle w:val="11"/>
        <w:spacing w:before="170" w:line="600" w:lineRule="auto"/>
        <w:ind w:left="820"/>
        <w:rPr>
          <w:highlight w:val="none"/>
        </w:rPr>
      </w:pPr>
      <w:r>
        <w:rPr>
          <w:highlight w:val="none"/>
        </w:rPr>
        <w:t>特此证明。</w:t>
      </w:r>
    </w:p>
    <w:p>
      <w:pPr>
        <w:pStyle w:val="11"/>
        <w:rPr>
          <w:sz w:val="20"/>
          <w:highlight w:val="none"/>
        </w:rPr>
      </w:pPr>
    </w:p>
    <w:p>
      <w:pPr>
        <w:pStyle w:val="11"/>
        <w:spacing w:before="10"/>
        <w:rPr>
          <w:sz w:val="27"/>
          <w:highlight w:val="none"/>
        </w:rPr>
      </w:pPr>
    </w:p>
    <w:p>
      <w:pPr>
        <w:pStyle w:val="11"/>
        <w:ind w:left="400"/>
        <w:rPr>
          <w:highlight w:val="none"/>
        </w:rPr>
      </w:pPr>
      <w:r>
        <w:rPr>
          <w:highlight w:val="none"/>
        </w:rPr>
        <w:t>附：法定代表人（单位负责人）身份证复印件。</w:t>
      </w:r>
    </w:p>
    <w:p>
      <w:pPr>
        <w:pStyle w:val="11"/>
        <w:rPr>
          <w:sz w:val="20"/>
          <w:highlight w:val="none"/>
        </w:rPr>
      </w:pPr>
    </w:p>
    <w:p>
      <w:pPr>
        <w:pStyle w:val="11"/>
        <w:spacing w:before="7"/>
        <w:rPr>
          <w:sz w:val="27"/>
          <w:highlight w:val="none"/>
        </w:rPr>
      </w:pPr>
    </w:p>
    <w:p>
      <w:pPr>
        <w:pStyle w:val="11"/>
        <w:ind w:left="400"/>
        <w:rPr>
          <w:highlight w:val="none"/>
        </w:rPr>
      </w:pPr>
      <w:r>
        <w:rPr>
          <w:highlight w:val="none"/>
        </w:rPr>
        <w:t>注：本身份证明需由投标人加盖单位公章。</w:t>
      </w:r>
    </w:p>
    <w:p>
      <w:pPr>
        <w:pStyle w:val="11"/>
        <w:rPr>
          <w:sz w:val="20"/>
          <w:highlight w:val="none"/>
        </w:rPr>
      </w:pPr>
    </w:p>
    <w:p>
      <w:pPr>
        <w:pStyle w:val="11"/>
        <w:rPr>
          <w:sz w:val="20"/>
          <w:highlight w:val="none"/>
        </w:rPr>
      </w:pPr>
    </w:p>
    <w:p>
      <w:pPr>
        <w:pStyle w:val="11"/>
        <w:rPr>
          <w:sz w:val="20"/>
          <w:highlight w:val="none"/>
        </w:rPr>
      </w:pPr>
    </w:p>
    <w:p>
      <w:pPr>
        <w:pStyle w:val="11"/>
        <w:spacing w:before="1"/>
        <w:rPr>
          <w:sz w:val="22"/>
          <w:highlight w:val="none"/>
        </w:rPr>
      </w:pPr>
    </w:p>
    <w:p>
      <w:pPr>
        <w:pStyle w:val="11"/>
        <w:tabs>
          <w:tab w:val="left" w:pos="6821"/>
        </w:tabs>
        <w:ind w:left="4512"/>
        <w:rPr>
          <w:highlight w:val="none"/>
        </w:rPr>
      </w:pPr>
      <w:r>
        <w:rPr>
          <w:spacing w:val="-3"/>
          <w:highlight w:val="none"/>
        </w:rPr>
        <w:t>投</w:t>
      </w:r>
      <w:r>
        <w:rPr>
          <w:highlight w:val="none"/>
        </w:rPr>
        <w:t>标</w:t>
      </w:r>
      <w:r>
        <w:rPr>
          <w:spacing w:val="-3"/>
          <w:highlight w:val="none"/>
        </w:rPr>
        <w:t>人</w:t>
      </w:r>
      <w:r>
        <w:rPr>
          <w:highlight w:val="none"/>
        </w:rPr>
        <w:t>：</w:t>
      </w:r>
      <w:r>
        <w:rPr>
          <w:highlight w:val="none"/>
          <w:u w:val="single"/>
        </w:rPr>
        <w:t xml:space="preserve"> </w:t>
      </w:r>
      <w:r>
        <w:rPr>
          <w:highlight w:val="none"/>
          <w:u w:val="single"/>
        </w:rPr>
        <w:tab/>
      </w:r>
      <w:r>
        <w:rPr>
          <w:highlight w:val="none"/>
        </w:rPr>
        <w:t>（盖</w:t>
      </w:r>
      <w:r>
        <w:rPr>
          <w:spacing w:val="-3"/>
          <w:highlight w:val="none"/>
        </w:rPr>
        <w:t>单</w:t>
      </w:r>
      <w:r>
        <w:rPr>
          <w:highlight w:val="none"/>
        </w:rPr>
        <w:t>位</w:t>
      </w:r>
      <w:r>
        <w:rPr>
          <w:spacing w:val="-3"/>
          <w:highlight w:val="none"/>
        </w:rPr>
        <w:t>章</w:t>
      </w:r>
      <w:r>
        <w:rPr>
          <w:highlight w:val="none"/>
        </w:rPr>
        <w:t>）</w:t>
      </w:r>
    </w:p>
    <w:p>
      <w:pPr>
        <w:pStyle w:val="11"/>
        <w:rPr>
          <w:sz w:val="20"/>
          <w:highlight w:val="none"/>
        </w:rPr>
      </w:pPr>
    </w:p>
    <w:p>
      <w:pPr>
        <w:pStyle w:val="11"/>
        <w:spacing w:before="2"/>
        <w:rPr>
          <w:sz w:val="22"/>
          <w:highlight w:val="none"/>
        </w:rPr>
      </w:pPr>
    </w:p>
    <w:p>
      <w:pPr>
        <w:pStyle w:val="11"/>
        <w:tabs>
          <w:tab w:val="left" w:pos="5652"/>
          <w:tab w:val="left" w:pos="6492"/>
          <w:tab w:val="left" w:pos="7332"/>
        </w:tabs>
        <w:spacing w:before="71"/>
        <w:ind w:left="5021"/>
        <w:rPr>
          <w:highlight w:val="none"/>
        </w:rPr>
      </w:pPr>
      <w:r>
        <w:rPr>
          <w:rFonts w:ascii="Times New Roman" w:eastAsia="Times New Roman"/>
          <w:highlight w:val="none"/>
          <w:u w:val="single"/>
        </w:rPr>
        <w:t xml:space="preserve"> </w:t>
      </w:r>
      <w:r>
        <w:rPr>
          <w:rFonts w:ascii="Times New Roman" w:eastAsia="Times New Roman"/>
          <w:highlight w:val="none"/>
          <w:u w:val="single"/>
        </w:rPr>
        <w:tab/>
      </w:r>
      <w:r>
        <w:rPr>
          <w:highlight w:val="none"/>
        </w:rPr>
        <w:t>年</w:t>
      </w:r>
      <w:r>
        <w:rPr>
          <w:highlight w:val="none"/>
          <w:u w:val="single"/>
        </w:rPr>
        <w:t xml:space="preserve"> </w:t>
      </w:r>
      <w:r>
        <w:rPr>
          <w:highlight w:val="none"/>
          <w:u w:val="single"/>
        </w:rPr>
        <w:tab/>
      </w:r>
      <w:r>
        <w:rPr>
          <w:highlight w:val="none"/>
        </w:rPr>
        <w:t>月</w:t>
      </w:r>
      <w:r>
        <w:rPr>
          <w:highlight w:val="none"/>
          <w:u w:val="single"/>
        </w:rPr>
        <w:t xml:space="preserve"> </w:t>
      </w:r>
      <w:r>
        <w:rPr>
          <w:highlight w:val="none"/>
          <w:u w:val="single"/>
        </w:rPr>
        <w:tab/>
      </w:r>
      <w:r>
        <w:rPr>
          <w:highlight w:val="none"/>
        </w:rPr>
        <w:t>日</w:t>
      </w:r>
    </w:p>
    <w:p>
      <w:pPr>
        <w:rPr>
          <w:highlight w:val="none"/>
        </w:rPr>
        <w:sectPr>
          <w:footerReference r:id="rId5" w:type="default"/>
          <w:pgSz w:w="12240" w:h="15840"/>
          <w:pgMar w:top="1400" w:right="1100" w:bottom="1120" w:left="1400" w:header="0" w:footer="841" w:gutter="0"/>
          <w:cols w:space="720" w:num="1"/>
        </w:sectPr>
      </w:pPr>
    </w:p>
    <w:p>
      <w:pPr>
        <w:pStyle w:val="4"/>
        <w:spacing w:line="525" w:lineRule="exact"/>
        <w:ind w:left="0" w:right="299" w:firstLine="0"/>
        <w:jc w:val="center"/>
        <w:rPr>
          <w:highlight w:val="none"/>
        </w:rPr>
      </w:pPr>
      <w:bookmarkStart w:id="227" w:name="_bookmark149"/>
      <w:bookmarkEnd w:id="227"/>
      <w:bookmarkStart w:id="228" w:name="_Toc27543"/>
      <w:bookmarkStart w:id="229" w:name="_Toc16378"/>
      <w:r>
        <w:rPr>
          <w:rFonts w:hint="eastAsia" w:eastAsia="宋体"/>
          <w:highlight w:val="none"/>
        </w:rPr>
        <w:t>二</w:t>
      </w:r>
      <w:r>
        <w:rPr>
          <w:highlight w:val="none"/>
        </w:rPr>
        <w:t>、授权委托书</w:t>
      </w:r>
      <w:bookmarkEnd w:id="228"/>
      <w:bookmarkEnd w:id="229"/>
    </w:p>
    <w:p>
      <w:pPr>
        <w:pStyle w:val="11"/>
        <w:rPr>
          <w:rFonts w:ascii="Microsoft JhengHei"/>
          <w:b/>
          <w:sz w:val="32"/>
          <w:highlight w:val="none"/>
        </w:rPr>
      </w:pPr>
    </w:p>
    <w:p>
      <w:pPr>
        <w:pStyle w:val="11"/>
        <w:spacing w:before="5"/>
        <w:rPr>
          <w:rFonts w:ascii="Microsoft JhengHei"/>
          <w:b/>
          <w:sz w:val="26"/>
          <w:highlight w:val="none"/>
        </w:rPr>
      </w:pPr>
    </w:p>
    <w:p>
      <w:pPr>
        <w:pStyle w:val="11"/>
        <w:tabs>
          <w:tab w:val="left" w:pos="2721"/>
          <w:tab w:val="left" w:pos="5885"/>
        </w:tabs>
        <w:spacing w:line="480" w:lineRule="auto"/>
        <w:ind w:left="820"/>
        <w:rPr>
          <w:highlight w:val="none"/>
        </w:rPr>
      </w:pPr>
      <w:r>
        <w:rPr>
          <w:highlight w:val="none"/>
        </w:rPr>
        <w:t>本人</w:t>
      </w:r>
      <w:r>
        <w:rPr>
          <w:highlight w:val="none"/>
          <w:u w:val="single"/>
        </w:rPr>
        <w:t xml:space="preserve"> </w:t>
      </w:r>
      <w:r>
        <w:rPr>
          <w:highlight w:val="none"/>
          <w:u w:val="single"/>
        </w:rPr>
        <w:tab/>
      </w:r>
      <w:r>
        <w:rPr>
          <w:highlight w:val="none"/>
        </w:rPr>
        <w:t>（</w:t>
      </w:r>
      <w:r>
        <w:rPr>
          <w:spacing w:val="-3"/>
          <w:highlight w:val="none"/>
        </w:rPr>
        <w:t>姓</w:t>
      </w:r>
      <w:r>
        <w:rPr>
          <w:highlight w:val="none"/>
        </w:rPr>
        <w:t>名）系</w:t>
      </w:r>
      <w:r>
        <w:rPr>
          <w:highlight w:val="none"/>
          <w:u w:val="single"/>
        </w:rPr>
        <w:t xml:space="preserve"> </w:t>
      </w:r>
      <w:r>
        <w:rPr>
          <w:highlight w:val="none"/>
          <w:u w:val="single"/>
        </w:rPr>
        <w:tab/>
      </w:r>
      <w:r>
        <w:rPr>
          <w:highlight w:val="none"/>
        </w:rPr>
        <w:t>（投标人</w:t>
      </w:r>
      <w:r>
        <w:rPr>
          <w:spacing w:val="-3"/>
          <w:highlight w:val="none"/>
        </w:rPr>
        <w:t>名</w:t>
      </w:r>
      <w:r>
        <w:rPr>
          <w:highlight w:val="none"/>
        </w:rPr>
        <w:t>称）的</w:t>
      </w:r>
      <w:r>
        <w:rPr>
          <w:spacing w:val="-3"/>
          <w:highlight w:val="none"/>
        </w:rPr>
        <w:t>法定</w:t>
      </w:r>
      <w:r>
        <w:rPr>
          <w:highlight w:val="none"/>
        </w:rPr>
        <w:t>代表人</w:t>
      </w:r>
      <w:r>
        <w:rPr>
          <w:spacing w:val="-3"/>
          <w:highlight w:val="none"/>
        </w:rPr>
        <w:t>（</w:t>
      </w:r>
      <w:r>
        <w:rPr>
          <w:highlight w:val="none"/>
        </w:rPr>
        <w:t>单</w:t>
      </w:r>
    </w:p>
    <w:p>
      <w:pPr>
        <w:pStyle w:val="11"/>
        <w:tabs>
          <w:tab w:val="left" w:pos="3458"/>
        </w:tabs>
        <w:spacing w:before="170" w:line="480" w:lineRule="auto"/>
        <w:ind w:left="400"/>
        <w:rPr>
          <w:highlight w:val="none"/>
        </w:rPr>
      </w:pPr>
      <w:r>
        <w:rPr>
          <w:highlight w:val="none"/>
        </w:rPr>
        <w:t>位负责</w:t>
      </w:r>
      <w:r>
        <w:rPr>
          <w:spacing w:val="-3"/>
          <w:highlight w:val="none"/>
        </w:rPr>
        <w:t>人</w:t>
      </w:r>
      <w:r>
        <w:rPr>
          <w:spacing w:val="-104"/>
          <w:highlight w:val="none"/>
        </w:rPr>
        <w:t>）</w:t>
      </w:r>
      <w:r>
        <w:rPr>
          <w:highlight w:val="none"/>
        </w:rPr>
        <w:t>，</w:t>
      </w:r>
      <w:r>
        <w:rPr>
          <w:spacing w:val="-3"/>
          <w:highlight w:val="none"/>
        </w:rPr>
        <w:t>现</w:t>
      </w:r>
      <w:r>
        <w:rPr>
          <w:highlight w:val="none"/>
        </w:rPr>
        <w:t>委</w:t>
      </w:r>
      <w:r>
        <w:rPr>
          <w:spacing w:val="-1"/>
          <w:highlight w:val="none"/>
        </w:rPr>
        <w:t>托</w:t>
      </w:r>
      <w:r>
        <w:rPr>
          <w:rFonts w:ascii="Times New Roman" w:eastAsia="Times New Roman"/>
          <w:highlight w:val="none"/>
          <w:u w:val="single"/>
        </w:rPr>
        <w:t xml:space="preserve"> </w:t>
      </w:r>
      <w:r>
        <w:rPr>
          <w:rFonts w:ascii="Times New Roman" w:eastAsia="Times New Roman"/>
          <w:highlight w:val="none"/>
          <w:u w:val="single"/>
        </w:rPr>
        <w:tab/>
      </w:r>
      <w:r>
        <w:rPr>
          <w:highlight w:val="none"/>
        </w:rPr>
        <w:t>（姓名）为我</w:t>
      </w:r>
      <w:r>
        <w:rPr>
          <w:spacing w:val="-3"/>
          <w:highlight w:val="none"/>
        </w:rPr>
        <w:t>方代</w:t>
      </w:r>
      <w:r>
        <w:rPr>
          <w:highlight w:val="none"/>
        </w:rPr>
        <w:t>理人。代理</w:t>
      </w:r>
      <w:r>
        <w:rPr>
          <w:spacing w:val="-3"/>
          <w:highlight w:val="none"/>
        </w:rPr>
        <w:t>人</w:t>
      </w:r>
      <w:r>
        <w:rPr>
          <w:highlight w:val="none"/>
        </w:rPr>
        <w:t>根据授</w:t>
      </w:r>
      <w:r>
        <w:rPr>
          <w:spacing w:val="-3"/>
          <w:highlight w:val="none"/>
        </w:rPr>
        <w:t>权，</w:t>
      </w:r>
      <w:r>
        <w:rPr>
          <w:highlight w:val="none"/>
        </w:rPr>
        <w:t>以我方名义</w:t>
      </w:r>
      <w:r>
        <w:rPr>
          <w:spacing w:val="-3"/>
          <w:highlight w:val="none"/>
        </w:rPr>
        <w:t>签</w:t>
      </w:r>
      <w:r>
        <w:rPr>
          <w:highlight w:val="none"/>
        </w:rPr>
        <w:t>署、</w:t>
      </w:r>
    </w:p>
    <w:p>
      <w:pPr>
        <w:pStyle w:val="11"/>
        <w:spacing w:before="170" w:line="480" w:lineRule="auto"/>
        <w:ind w:left="400" w:right="694"/>
        <w:rPr>
          <w:highlight w:val="none"/>
        </w:rPr>
      </w:pPr>
      <w:r>
        <w:rPr>
          <w:highlight w:val="none"/>
        </w:rPr>
        <w:t>澄清确认、递交、撤回、修改采购招标项目投标文件、签订合同和处理有关事宜，其法律后果由我方承担。</w:t>
      </w:r>
    </w:p>
    <w:p>
      <w:pPr>
        <w:pStyle w:val="11"/>
        <w:tabs>
          <w:tab w:val="left" w:pos="3866"/>
        </w:tabs>
        <w:spacing w:line="480" w:lineRule="auto"/>
        <w:ind w:left="400"/>
        <w:rPr>
          <w:highlight w:val="none"/>
        </w:rPr>
      </w:pPr>
      <w:r>
        <w:rPr>
          <w:highlight w:val="none"/>
        </w:rPr>
        <w:t>委托</w:t>
      </w:r>
      <w:r>
        <w:rPr>
          <w:spacing w:val="-3"/>
          <w:highlight w:val="none"/>
        </w:rPr>
        <w:t>期</w:t>
      </w:r>
      <w:r>
        <w:rPr>
          <w:highlight w:val="none"/>
        </w:rPr>
        <w:t>限</w:t>
      </w:r>
      <w:r>
        <w:rPr>
          <w:spacing w:val="-3"/>
          <w:highlight w:val="none"/>
        </w:rPr>
        <w:t>：</w:t>
      </w:r>
      <w:r>
        <w:rPr>
          <w:spacing w:val="-3"/>
          <w:highlight w:val="none"/>
          <w:u w:val="single"/>
        </w:rPr>
        <w:t xml:space="preserve"> </w:t>
      </w:r>
      <w:r>
        <w:rPr>
          <w:spacing w:val="-3"/>
          <w:highlight w:val="none"/>
          <w:u w:val="single"/>
        </w:rPr>
        <w:tab/>
      </w:r>
      <w:r>
        <w:rPr>
          <w:highlight w:val="none"/>
        </w:rPr>
        <w:t>。</w:t>
      </w:r>
    </w:p>
    <w:p>
      <w:pPr>
        <w:pStyle w:val="11"/>
        <w:spacing w:before="171" w:line="480" w:lineRule="auto"/>
        <w:ind w:left="820"/>
        <w:rPr>
          <w:highlight w:val="none"/>
        </w:rPr>
      </w:pPr>
      <w:r>
        <w:rPr>
          <w:highlight w:val="none"/>
        </w:rPr>
        <w:t>代理人无转委托权。</w:t>
      </w:r>
    </w:p>
    <w:p>
      <w:pPr>
        <w:pStyle w:val="11"/>
        <w:rPr>
          <w:sz w:val="20"/>
          <w:highlight w:val="none"/>
        </w:rPr>
      </w:pPr>
    </w:p>
    <w:p>
      <w:pPr>
        <w:pStyle w:val="11"/>
        <w:spacing w:before="9"/>
        <w:rPr>
          <w:sz w:val="27"/>
          <w:highlight w:val="none"/>
        </w:rPr>
      </w:pPr>
    </w:p>
    <w:p>
      <w:pPr>
        <w:pStyle w:val="11"/>
        <w:ind w:left="400"/>
        <w:rPr>
          <w:highlight w:val="none"/>
        </w:rPr>
      </w:pPr>
      <w:r>
        <w:rPr>
          <w:highlight w:val="none"/>
        </w:rPr>
        <w:t>附：法定代表人（单位负责人）身份证复印件及委托代理人身份证复印件</w:t>
      </w:r>
    </w:p>
    <w:p>
      <w:pPr>
        <w:pStyle w:val="11"/>
        <w:rPr>
          <w:sz w:val="20"/>
          <w:highlight w:val="none"/>
        </w:rPr>
      </w:pPr>
    </w:p>
    <w:p>
      <w:pPr>
        <w:pStyle w:val="11"/>
        <w:spacing w:before="9"/>
        <w:rPr>
          <w:sz w:val="27"/>
          <w:highlight w:val="none"/>
        </w:rPr>
      </w:pPr>
    </w:p>
    <w:p>
      <w:pPr>
        <w:pStyle w:val="11"/>
        <w:spacing w:before="1" w:line="391" w:lineRule="auto"/>
        <w:ind w:left="400" w:right="693"/>
        <w:rPr>
          <w:highlight w:val="none"/>
        </w:rPr>
      </w:pPr>
      <w:r>
        <w:rPr>
          <w:highlight w:val="none"/>
        </w:rPr>
        <w:t>注：本授权委托书需由投标人加盖单位公章并由其法定代表人（单位负责人）和委托代理人签字。</w:t>
      </w:r>
    </w:p>
    <w:p>
      <w:pPr>
        <w:pStyle w:val="11"/>
        <w:rPr>
          <w:sz w:val="20"/>
          <w:highlight w:val="none"/>
        </w:rPr>
      </w:pPr>
    </w:p>
    <w:p>
      <w:pPr>
        <w:pStyle w:val="11"/>
        <w:spacing w:before="7"/>
        <w:rPr>
          <w:sz w:val="14"/>
          <w:highlight w:val="none"/>
        </w:rPr>
      </w:pPr>
    </w:p>
    <w:p>
      <w:pPr>
        <w:pStyle w:val="11"/>
        <w:tabs>
          <w:tab w:val="left" w:pos="3516"/>
          <w:tab w:val="left" w:pos="3936"/>
          <w:tab w:val="left" w:pos="7541"/>
        </w:tabs>
        <w:ind w:left="3093"/>
        <w:rPr>
          <w:highlight w:val="none"/>
        </w:rPr>
      </w:pPr>
      <w:r>
        <w:rPr>
          <w:highlight w:val="none"/>
        </w:rPr>
        <w:t>投</w:t>
      </w:r>
      <w:r>
        <w:rPr>
          <w:highlight w:val="none"/>
        </w:rPr>
        <w:tab/>
      </w:r>
      <w:r>
        <w:rPr>
          <w:highlight w:val="none"/>
        </w:rPr>
        <w:t>标</w:t>
      </w:r>
      <w:r>
        <w:rPr>
          <w:highlight w:val="none"/>
        </w:rPr>
        <w:tab/>
      </w:r>
      <w:r>
        <w:rPr>
          <w:spacing w:val="-3"/>
          <w:highlight w:val="none"/>
        </w:rPr>
        <w:t>人：</w:t>
      </w:r>
      <w:r>
        <w:rPr>
          <w:spacing w:val="-3"/>
          <w:highlight w:val="none"/>
          <w:u w:val="single"/>
        </w:rPr>
        <w:t xml:space="preserve"> </w:t>
      </w:r>
      <w:r>
        <w:rPr>
          <w:spacing w:val="-3"/>
          <w:highlight w:val="none"/>
          <w:u w:val="single"/>
        </w:rPr>
        <w:tab/>
      </w:r>
      <w:r>
        <w:rPr>
          <w:highlight w:val="none"/>
        </w:rPr>
        <w:t>（盖</w:t>
      </w:r>
      <w:r>
        <w:rPr>
          <w:spacing w:val="-3"/>
          <w:highlight w:val="none"/>
        </w:rPr>
        <w:t>单</w:t>
      </w:r>
      <w:r>
        <w:rPr>
          <w:highlight w:val="none"/>
        </w:rPr>
        <w:t>位</w:t>
      </w:r>
      <w:r>
        <w:rPr>
          <w:spacing w:val="-3"/>
          <w:highlight w:val="none"/>
        </w:rPr>
        <w:t>章</w:t>
      </w:r>
      <w:r>
        <w:rPr>
          <w:highlight w:val="none"/>
        </w:rPr>
        <w:t>）</w:t>
      </w:r>
    </w:p>
    <w:p>
      <w:pPr>
        <w:pStyle w:val="11"/>
        <w:spacing w:before="6"/>
        <w:rPr>
          <w:highlight w:val="none"/>
        </w:rPr>
      </w:pPr>
    </w:p>
    <w:p>
      <w:pPr>
        <w:pStyle w:val="11"/>
        <w:tabs>
          <w:tab w:val="left" w:pos="7961"/>
        </w:tabs>
        <w:spacing w:before="78"/>
        <w:ind w:left="3091"/>
        <w:rPr>
          <w:sz w:val="20"/>
          <w:highlight w:val="none"/>
        </w:rPr>
      </w:pPr>
      <w:r>
        <w:rPr>
          <w:highlight w:val="none"/>
        </w:rPr>
        <w:t>法定</w:t>
      </w:r>
      <w:r>
        <w:rPr>
          <w:spacing w:val="-3"/>
          <w:highlight w:val="none"/>
        </w:rPr>
        <w:t>代</w:t>
      </w:r>
      <w:r>
        <w:rPr>
          <w:highlight w:val="none"/>
        </w:rPr>
        <w:t>表</w:t>
      </w:r>
      <w:r>
        <w:rPr>
          <w:spacing w:val="-3"/>
          <w:highlight w:val="none"/>
        </w:rPr>
        <w:t>人</w:t>
      </w:r>
      <w:r>
        <w:rPr>
          <w:highlight w:val="none"/>
        </w:rPr>
        <w:t>（</w:t>
      </w:r>
      <w:r>
        <w:rPr>
          <w:spacing w:val="-3"/>
          <w:highlight w:val="none"/>
        </w:rPr>
        <w:t>单</w:t>
      </w:r>
      <w:r>
        <w:rPr>
          <w:highlight w:val="none"/>
        </w:rPr>
        <w:t>位</w:t>
      </w:r>
      <w:r>
        <w:rPr>
          <w:spacing w:val="-3"/>
          <w:highlight w:val="none"/>
        </w:rPr>
        <w:t>负</w:t>
      </w:r>
      <w:r>
        <w:rPr>
          <w:highlight w:val="none"/>
        </w:rPr>
        <w:t>责</w:t>
      </w:r>
      <w:r>
        <w:rPr>
          <w:spacing w:val="-3"/>
          <w:highlight w:val="none"/>
        </w:rPr>
        <w:t>人</w:t>
      </w:r>
      <w:r>
        <w:rPr>
          <w:spacing w:val="-108"/>
          <w:highlight w:val="none"/>
        </w:rPr>
        <w:t>）</w:t>
      </w:r>
      <w:r>
        <w:rPr>
          <w:spacing w:val="-1"/>
          <w:highlight w:val="none"/>
        </w:rPr>
        <w:t>：</w:t>
      </w:r>
      <w:r>
        <w:rPr>
          <w:rFonts w:ascii="Times New Roman" w:eastAsia="Times New Roman"/>
          <w:highlight w:val="none"/>
          <w:u w:val="single"/>
        </w:rPr>
        <w:t xml:space="preserve"> </w:t>
      </w:r>
      <w:r>
        <w:rPr>
          <w:rFonts w:ascii="Times New Roman" w:eastAsia="Times New Roman"/>
          <w:highlight w:val="none"/>
          <w:u w:val="single"/>
        </w:rPr>
        <w:tab/>
      </w:r>
      <w:r>
        <w:rPr>
          <w:highlight w:val="none"/>
        </w:rPr>
        <w:t>（签</w:t>
      </w:r>
      <w:r>
        <w:rPr>
          <w:spacing w:val="-3"/>
          <w:highlight w:val="none"/>
        </w:rPr>
        <w:t>字</w:t>
      </w:r>
      <w:r>
        <w:rPr>
          <w:highlight w:val="none"/>
        </w:rPr>
        <w:t>）</w:t>
      </w:r>
    </w:p>
    <w:p>
      <w:pPr>
        <w:pStyle w:val="11"/>
        <w:spacing w:before="8"/>
        <w:rPr>
          <w:highlight w:val="none"/>
        </w:rPr>
      </w:pPr>
    </w:p>
    <w:p>
      <w:pPr>
        <w:pStyle w:val="11"/>
        <w:tabs>
          <w:tab w:val="left" w:pos="8849"/>
        </w:tabs>
        <w:spacing w:before="79"/>
        <w:ind w:left="3093"/>
        <w:rPr>
          <w:rFonts w:ascii="Times New Roman" w:eastAsia="Times New Roman"/>
          <w:highlight w:val="none"/>
        </w:rPr>
      </w:pPr>
      <w:r>
        <w:rPr>
          <w:highlight w:val="none"/>
        </w:rPr>
        <w:t>身份</w:t>
      </w:r>
      <w:r>
        <w:rPr>
          <w:spacing w:val="-3"/>
          <w:highlight w:val="none"/>
        </w:rPr>
        <w:t>证</w:t>
      </w:r>
      <w:r>
        <w:rPr>
          <w:highlight w:val="none"/>
        </w:rPr>
        <w:t>号</w:t>
      </w:r>
      <w:r>
        <w:rPr>
          <w:spacing w:val="-3"/>
          <w:highlight w:val="none"/>
        </w:rPr>
        <w:t>码：</w:t>
      </w:r>
      <w:r>
        <w:rPr>
          <w:rFonts w:ascii="Times New Roman" w:eastAsia="Times New Roman"/>
          <w:highlight w:val="none"/>
          <w:u w:val="single"/>
        </w:rPr>
        <w:t xml:space="preserve"> </w:t>
      </w:r>
      <w:r>
        <w:rPr>
          <w:rFonts w:ascii="Times New Roman" w:eastAsia="Times New Roman"/>
          <w:highlight w:val="none"/>
          <w:u w:val="single"/>
        </w:rPr>
        <w:tab/>
      </w:r>
    </w:p>
    <w:p>
      <w:pPr>
        <w:pStyle w:val="11"/>
        <w:spacing w:before="5"/>
        <w:rPr>
          <w:rFonts w:ascii="Times New Roman"/>
          <w:sz w:val="26"/>
          <w:highlight w:val="none"/>
        </w:rPr>
      </w:pPr>
    </w:p>
    <w:p>
      <w:pPr>
        <w:pStyle w:val="11"/>
        <w:tabs>
          <w:tab w:val="left" w:pos="7961"/>
        </w:tabs>
        <w:spacing w:before="78"/>
        <w:ind w:left="3093"/>
        <w:rPr>
          <w:highlight w:val="none"/>
        </w:rPr>
      </w:pPr>
      <w:r>
        <w:rPr>
          <w:highlight w:val="none"/>
        </w:rPr>
        <w:t>委托</w:t>
      </w:r>
      <w:r>
        <w:rPr>
          <w:spacing w:val="-3"/>
          <w:highlight w:val="none"/>
        </w:rPr>
        <w:t>代</w:t>
      </w:r>
      <w:r>
        <w:rPr>
          <w:highlight w:val="none"/>
        </w:rPr>
        <w:t>理</w:t>
      </w:r>
      <w:r>
        <w:rPr>
          <w:spacing w:val="-3"/>
          <w:highlight w:val="none"/>
        </w:rPr>
        <w:t>人：</w:t>
      </w:r>
      <w:r>
        <w:rPr>
          <w:spacing w:val="-3"/>
          <w:highlight w:val="none"/>
          <w:u w:val="single"/>
        </w:rPr>
        <w:t xml:space="preserve"> </w:t>
      </w:r>
      <w:r>
        <w:rPr>
          <w:spacing w:val="-3"/>
          <w:highlight w:val="none"/>
          <w:u w:val="single"/>
        </w:rPr>
        <w:tab/>
      </w:r>
      <w:r>
        <w:rPr>
          <w:highlight w:val="none"/>
        </w:rPr>
        <w:t>（签</w:t>
      </w:r>
      <w:r>
        <w:rPr>
          <w:spacing w:val="-3"/>
          <w:highlight w:val="none"/>
        </w:rPr>
        <w:t>字</w:t>
      </w:r>
      <w:r>
        <w:rPr>
          <w:highlight w:val="none"/>
        </w:rPr>
        <w:t>）</w:t>
      </w:r>
    </w:p>
    <w:p>
      <w:pPr>
        <w:pStyle w:val="11"/>
        <w:spacing w:before="6"/>
        <w:rPr>
          <w:highlight w:val="none"/>
        </w:rPr>
      </w:pPr>
    </w:p>
    <w:p>
      <w:pPr>
        <w:pStyle w:val="11"/>
        <w:tabs>
          <w:tab w:val="left" w:pos="8849"/>
        </w:tabs>
        <w:spacing w:before="78"/>
        <w:ind w:left="3093"/>
        <w:rPr>
          <w:rFonts w:ascii="Times New Roman" w:eastAsia="Times New Roman"/>
          <w:highlight w:val="none"/>
        </w:rPr>
      </w:pPr>
      <w:r>
        <w:rPr>
          <w:highlight w:val="none"/>
        </w:rPr>
        <w:t>身份</w:t>
      </w:r>
      <w:r>
        <w:rPr>
          <w:spacing w:val="-3"/>
          <w:highlight w:val="none"/>
        </w:rPr>
        <w:t>证</w:t>
      </w:r>
      <w:r>
        <w:rPr>
          <w:highlight w:val="none"/>
        </w:rPr>
        <w:t>号</w:t>
      </w:r>
      <w:r>
        <w:rPr>
          <w:spacing w:val="-3"/>
          <w:highlight w:val="none"/>
        </w:rPr>
        <w:t>码：</w:t>
      </w:r>
      <w:r>
        <w:rPr>
          <w:rFonts w:ascii="Times New Roman" w:eastAsia="Times New Roman"/>
          <w:highlight w:val="none"/>
          <w:u w:val="single"/>
        </w:rPr>
        <w:t xml:space="preserve"> </w:t>
      </w:r>
      <w:r>
        <w:rPr>
          <w:rFonts w:ascii="Times New Roman" w:eastAsia="Times New Roman"/>
          <w:highlight w:val="none"/>
          <w:u w:val="single"/>
        </w:rPr>
        <w:tab/>
      </w:r>
    </w:p>
    <w:p>
      <w:pPr>
        <w:pStyle w:val="11"/>
        <w:rPr>
          <w:rFonts w:ascii="Times New Roman"/>
          <w:sz w:val="20"/>
          <w:highlight w:val="none"/>
        </w:rPr>
      </w:pPr>
    </w:p>
    <w:p>
      <w:pPr>
        <w:pStyle w:val="11"/>
        <w:rPr>
          <w:rFonts w:ascii="Times New Roman"/>
          <w:sz w:val="20"/>
          <w:highlight w:val="none"/>
        </w:rPr>
      </w:pPr>
    </w:p>
    <w:p>
      <w:pPr>
        <w:pStyle w:val="11"/>
        <w:rPr>
          <w:rFonts w:ascii="Times New Roman"/>
          <w:sz w:val="20"/>
          <w:highlight w:val="none"/>
        </w:rPr>
      </w:pPr>
    </w:p>
    <w:p>
      <w:pPr>
        <w:pStyle w:val="11"/>
        <w:spacing w:before="2"/>
        <w:rPr>
          <w:rFonts w:ascii="Times New Roman"/>
          <w:sz w:val="25"/>
          <w:highlight w:val="none"/>
        </w:rPr>
      </w:pPr>
    </w:p>
    <w:p>
      <w:pPr>
        <w:pStyle w:val="11"/>
        <w:tabs>
          <w:tab w:val="left" w:pos="6943"/>
          <w:tab w:val="left" w:pos="7889"/>
          <w:tab w:val="left" w:pos="8833"/>
        </w:tabs>
        <w:spacing w:before="72"/>
        <w:ind w:left="6207"/>
        <w:rPr>
          <w:highlight w:val="none"/>
        </w:rPr>
      </w:pPr>
      <w:r>
        <w:rPr>
          <w:rFonts w:ascii="Times New Roman" w:eastAsia="Times New Roman"/>
          <w:highlight w:val="none"/>
          <w:u w:val="single"/>
        </w:rPr>
        <w:t xml:space="preserve"> </w:t>
      </w:r>
      <w:r>
        <w:rPr>
          <w:rFonts w:ascii="Times New Roman" w:eastAsia="Times New Roman"/>
          <w:highlight w:val="none"/>
          <w:u w:val="single"/>
        </w:rPr>
        <w:tab/>
      </w:r>
      <w:r>
        <w:rPr>
          <w:highlight w:val="none"/>
        </w:rPr>
        <w:t>年</w:t>
      </w:r>
      <w:r>
        <w:rPr>
          <w:highlight w:val="none"/>
          <w:u w:val="single"/>
        </w:rPr>
        <w:t xml:space="preserve"> </w:t>
      </w:r>
      <w:r>
        <w:rPr>
          <w:highlight w:val="none"/>
          <w:u w:val="single"/>
        </w:rPr>
        <w:tab/>
      </w:r>
      <w:r>
        <w:rPr>
          <w:spacing w:val="-3"/>
          <w:highlight w:val="none"/>
        </w:rPr>
        <w:t>月</w:t>
      </w:r>
      <w:r>
        <w:rPr>
          <w:spacing w:val="-3"/>
          <w:highlight w:val="none"/>
          <w:u w:val="single"/>
        </w:rPr>
        <w:t xml:space="preserve"> </w:t>
      </w:r>
      <w:r>
        <w:rPr>
          <w:spacing w:val="-3"/>
          <w:highlight w:val="none"/>
          <w:u w:val="single"/>
        </w:rPr>
        <w:tab/>
      </w:r>
      <w:r>
        <w:rPr>
          <w:highlight w:val="none"/>
        </w:rPr>
        <w:t>日</w:t>
      </w:r>
    </w:p>
    <w:p>
      <w:pPr>
        <w:rPr>
          <w:highlight w:val="none"/>
        </w:rPr>
      </w:pPr>
    </w:p>
    <w:p>
      <w:pPr>
        <w:rPr>
          <w:highlight w:val="none"/>
        </w:rPr>
      </w:pPr>
      <w:r>
        <w:rPr>
          <w:rFonts w:hint="eastAsia"/>
          <w:highlight w:val="none"/>
        </w:rPr>
        <w:br w:type="page"/>
      </w:r>
    </w:p>
    <w:p>
      <w:pPr>
        <w:pStyle w:val="4"/>
        <w:spacing w:line="525" w:lineRule="exact"/>
        <w:ind w:left="0" w:right="299" w:firstLine="0"/>
        <w:jc w:val="center"/>
        <w:rPr>
          <w:rFonts w:eastAsia="宋体"/>
          <w:highlight w:val="none"/>
          <w:lang w:val="en-US"/>
        </w:rPr>
      </w:pPr>
      <w:bookmarkStart w:id="230" w:name="_Toc24650"/>
      <w:r>
        <w:rPr>
          <w:rFonts w:hint="eastAsia" w:eastAsia="宋体"/>
          <w:highlight w:val="none"/>
        </w:rPr>
        <w:t>三</w:t>
      </w:r>
      <w:r>
        <w:rPr>
          <w:highlight w:val="none"/>
        </w:rPr>
        <w:t>、</w:t>
      </w:r>
      <w:r>
        <w:rPr>
          <w:rFonts w:hint="eastAsia" w:eastAsia="宋体"/>
          <w:highlight w:val="none"/>
          <w:lang w:val="en-US"/>
        </w:rPr>
        <w:t>投标保证金</w:t>
      </w:r>
      <w:bookmarkEnd w:id="230"/>
    </w:p>
    <w:p>
      <w:pPr>
        <w:rPr>
          <w:highlight w:val="none"/>
        </w:rPr>
      </w:pPr>
    </w:p>
    <w:p>
      <w:pPr>
        <w:adjustRightInd w:val="0"/>
        <w:spacing w:line="400" w:lineRule="atLeast"/>
        <w:ind w:right="281" w:firstLine="389" w:firstLineChars="177"/>
        <w:rPr>
          <w:highlight w:val="none"/>
        </w:rPr>
      </w:pPr>
      <w:r>
        <w:rPr>
          <w:rFonts w:hint="eastAsia"/>
          <w:highlight w:val="none"/>
        </w:rPr>
        <w:t>1.若采用现金或支票，投标人应在此提供汇款凭证复印件。</w:t>
      </w:r>
    </w:p>
    <w:p>
      <w:pPr>
        <w:rPr>
          <w:rFonts w:hint="eastAsia"/>
          <w:highlight w:val="none"/>
        </w:rPr>
      </w:pPr>
      <w:r>
        <w:rPr>
          <w:rFonts w:hint="eastAsia"/>
          <w:highlight w:val="none"/>
        </w:rPr>
        <w:br w:type="page"/>
      </w:r>
    </w:p>
    <w:p>
      <w:pPr>
        <w:pStyle w:val="4"/>
        <w:spacing w:line="525" w:lineRule="exact"/>
        <w:ind w:left="3113" w:firstLine="0"/>
        <w:rPr>
          <w:highlight w:val="none"/>
        </w:rPr>
      </w:pPr>
      <w:bookmarkStart w:id="231" w:name="_Toc26989"/>
      <w:bookmarkStart w:id="232" w:name="_Toc734"/>
      <w:r>
        <w:rPr>
          <w:rFonts w:hint="eastAsia" w:eastAsia="宋体"/>
          <w:highlight w:val="none"/>
        </w:rPr>
        <w:t>四</w:t>
      </w:r>
      <w:r>
        <w:rPr>
          <w:highlight w:val="none"/>
        </w:rPr>
        <w:t>、商务和技术偏差表</w:t>
      </w:r>
      <w:bookmarkEnd w:id="231"/>
      <w:bookmarkEnd w:id="232"/>
    </w:p>
    <w:p>
      <w:pPr>
        <w:pStyle w:val="11"/>
        <w:spacing w:before="9"/>
        <w:rPr>
          <w:rFonts w:ascii="Microsoft JhengHei"/>
          <w:b/>
          <w:sz w:val="26"/>
          <w:highlight w:val="none"/>
        </w:rPr>
      </w:pPr>
    </w:p>
    <w:tbl>
      <w:tblPr>
        <w:tblStyle w:val="22"/>
        <w:tblW w:w="7958" w:type="dxa"/>
        <w:tblInd w:w="6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26"/>
        <w:gridCol w:w="2777"/>
        <w:gridCol w:w="2682"/>
        <w:gridCol w:w="15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61" w:hRule="atLeast"/>
        </w:trPr>
        <w:tc>
          <w:tcPr>
            <w:tcW w:w="926" w:type="dxa"/>
            <w:vAlign w:val="center"/>
          </w:tcPr>
          <w:p>
            <w:pPr>
              <w:pStyle w:val="29"/>
              <w:spacing w:before="104" w:line="319" w:lineRule="exact"/>
              <w:ind w:left="223" w:right="218"/>
              <w:jc w:val="both"/>
              <w:rPr>
                <w:b/>
                <w:bCs/>
                <w:sz w:val="21"/>
                <w:szCs w:val="21"/>
                <w:highlight w:val="none"/>
              </w:rPr>
            </w:pPr>
            <w:r>
              <w:rPr>
                <w:rFonts w:hint="eastAsia"/>
                <w:b/>
                <w:bCs/>
                <w:sz w:val="21"/>
                <w:szCs w:val="21"/>
                <w:highlight w:val="none"/>
              </w:rPr>
              <w:t>序号</w:t>
            </w:r>
          </w:p>
        </w:tc>
        <w:tc>
          <w:tcPr>
            <w:tcW w:w="2777" w:type="dxa"/>
            <w:vAlign w:val="center"/>
          </w:tcPr>
          <w:p>
            <w:pPr>
              <w:pStyle w:val="29"/>
              <w:spacing w:before="104" w:line="319" w:lineRule="exact"/>
              <w:ind w:left="290"/>
              <w:jc w:val="both"/>
              <w:rPr>
                <w:b/>
                <w:bCs/>
                <w:sz w:val="21"/>
                <w:szCs w:val="21"/>
                <w:highlight w:val="none"/>
              </w:rPr>
            </w:pPr>
            <w:r>
              <w:rPr>
                <w:rFonts w:hint="eastAsia"/>
                <w:b/>
                <w:bCs/>
                <w:sz w:val="21"/>
                <w:szCs w:val="21"/>
                <w:highlight w:val="none"/>
              </w:rPr>
              <w:t>招标文件章节及条款号</w:t>
            </w:r>
          </w:p>
        </w:tc>
        <w:tc>
          <w:tcPr>
            <w:tcW w:w="2682" w:type="dxa"/>
            <w:vAlign w:val="center"/>
          </w:tcPr>
          <w:p>
            <w:pPr>
              <w:pStyle w:val="29"/>
              <w:spacing w:before="104" w:line="319" w:lineRule="exact"/>
              <w:ind w:left="435"/>
              <w:jc w:val="both"/>
              <w:rPr>
                <w:b/>
                <w:bCs/>
                <w:sz w:val="21"/>
                <w:szCs w:val="21"/>
                <w:highlight w:val="none"/>
              </w:rPr>
            </w:pPr>
            <w:r>
              <w:rPr>
                <w:rFonts w:hint="eastAsia"/>
                <w:b/>
                <w:bCs/>
                <w:sz w:val="21"/>
                <w:szCs w:val="21"/>
                <w:highlight w:val="none"/>
              </w:rPr>
              <w:t>投标文件章节及条款号</w:t>
            </w:r>
          </w:p>
        </w:tc>
        <w:tc>
          <w:tcPr>
            <w:tcW w:w="1573" w:type="dxa"/>
            <w:vAlign w:val="center"/>
          </w:tcPr>
          <w:p>
            <w:pPr>
              <w:pStyle w:val="29"/>
              <w:spacing w:before="104" w:line="319" w:lineRule="exact"/>
              <w:ind w:left="392"/>
              <w:jc w:val="both"/>
              <w:rPr>
                <w:b/>
                <w:bCs/>
                <w:sz w:val="21"/>
                <w:szCs w:val="21"/>
                <w:highlight w:val="none"/>
              </w:rPr>
            </w:pPr>
            <w:r>
              <w:rPr>
                <w:rFonts w:hint="eastAsia"/>
                <w:b/>
                <w:bCs/>
                <w:sz w:val="21"/>
                <w:szCs w:val="21"/>
                <w:highlight w:val="none"/>
              </w:rPr>
              <w:t>偏差说明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0" w:hRule="atLeast"/>
        </w:trPr>
        <w:tc>
          <w:tcPr>
            <w:tcW w:w="926" w:type="dxa"/>
          </w:tcPr>
          <w:p>
            <w:pPr>
              <w:pStyle w:val="29"/>
              <w:spacing w:before="197" w:line="229" w:lineRule="exact"/>
              <w:ind w:left="5"/>
              <w:jc w:val="center"/>
              <w:rPr>
                <w:rFonts w:ascii="Times New Roman"/>
                <w:sz w:val="21"/>
                <w:highlight w:val="none"/>
              </w:rPr>
            </w:pPr>
          </w:p>
        </w:tc>
        <w:tc>
          <w:tcPr>
            <w:tcW w:w="2777" w:type="dxa"/>
          </w:tcPr>
          <w:p>
            <w:pPr>
              <w:pStyle w:val="29"/>
              <w:spacing w:before="104" w:line="319" w:lineRule="exact"/>
              <w:rPr>
                <w:rFonts w:ascii="Microsoft JhengHei" w:eastAsia="Microsoft JhengHei"/>
                <w:b/>
                <w:sz w:val="21"/>
                <w:highlight w:val="none"/>
                <w:lang w:val="en-US"/>
              </w:rPr>
            </w:pPr>
          </w:p>
        </w:tc>
        <w:tc>
          <w:tcPr>
            <w:tcW w:w="2682" w:type="dxa"/>
          </w:tcPr>
          <w:p>
            <w:pPr>
              <w:pStyle w:val="29"/>
              <w:spacing w:before="104" w:line="319" w:lineRule="exact"/>
              <w:jc w:val="center"/>
              <w:rPr>
                <w:rFonts w:ascii="Microsoft JhengHei" w:eastAsia="Microsoft JhengHei"/>
                <w:b/>
                <w:sz w:val="21"/>
                <w:highlight w:val="none"/>
                <w:lang w:val="en-US"/>
              </w:rPr>
            </w:pPr>
          </w:p>
        </w:tc>
        <w:tc>
          <w:tcPr>
            <w:tcW w:w="1573" w:type="dxa"/>
          </w:tcPr>
          <w:p>
            <w:pPr>
              <w:pStyle w:val="29"/>
              <w:spacing w:before="104" w:line="319" w:lineRule="exact"/>
              <w:jc w:val="center"/>
              <w:rPr>
                <w:rFonts w:ascii="Microsoft JhengHei" w:eastAsia="Microsoft JhengHei"/>
                <w:b/>
                <w:sz w:val="21"/>
                <w:highlight w:val="none"/>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5" w:hRule="atLeast"/>
        </w:trPr>
        <w:tc>
          <w:tcPr>
            <w:tcW w:w="926" w:type="dxa"/>
          </w:tcPr>
          <w:p>
            <w:pPr>
              <w:pStyle w:val="29"/>
              <w:spacing w:before="195" w:line="229" w:lineRule="exact"/>
              <w:ind w:left="5"/>
              <w:jc w:val="center"/>
              <w:rPr>
                <w:rFonts w:ascii="Times New Roman"/>
                <w:sz w:val="21"/>
                <w:highlight w:val="none"/>
              </w:rPr>
            </w:pPr>
          </w:p>
        </w:tc>
        <w:tc>
          <w:tcPr>
            <w:tcW w:w="2777" w:type="dxa"/>
          </w:tcPr>
          <w:p>
            <w:pPr>
              <w:pStyle w:val="29"/>
              <w:spacing w:before="104" w:line="319" w:lineRule="exact"/>
              <w:rPr>
                <w:rFonts w:ascii="Microsoft JhengHei" w:eastAsia="Microsoft JhengHei"/>
                <w:b/>
                <w:sz w:val="21"/>
                <w:highlight w:val="none"/>
                <w:lang w:val="en-US"/>
              </w:rPr>
            </w:pPr>
          </w:p>
        </w:tc>
        <w:tc>
          <w:tcPr>
            <w:tcW w:w="2682" w:type="dxa"/>
          </w:tcPr>
          <w:p>
            <w:pPr>
              <w:spacing w:before="104" w:line="319" w:lineRule="exact"/>
              <w:ind w:left="290"/>
              <w:jc w:val="center"/>
              <w:rPr>
                <w:rFonts w:ascii="Microsoft JhengHei" w:eastAsia="Microsoft JhengHei"/>
                <w:b/>
                <w:sz w:val="21"/>
                <w:highlight w:val="none"/>
                <w:lang w:val="en-US"/>
              </w:rPr>
            </w:pPr>
          </w:p>
        </w:tc>
        <w:tc>
          <w:tcPr>
            <w:tcW w:w="1573" w:type="dxa"/>
          </w:tcPr>
          <w:p>
            <w:pPr>
              <w:spacing w:before="104" w:line="319" w:lineRule="exact"/>
              <w:jc w:val="center"/>
              <w:rPr>
                <w:rFonts w:ascii="Microsoft JhengHei" w:eastAsia="Microsoft JhengHei"/>
                <w:b/>
                <w:sz w:val="21"/>
                <w:highlight w:val="none"/>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5" w:hRule="atLeast"/>
        </w:trPr>
        <w:tc>
          <w:tcPr>
            <w:tcW w:w="926" w:type="dxa"/>
          </w:tcPr>
          <w:p>
            <w:pPr>
              <w:pStyle w:val="29"/>
              <w:spacing w:before="195" w:line="229" w:lineRule="exact"/>
              <w:ind w:left="5"/>
              <w:jc w:val="center"/>
              <w:rPr>
                <w:rFonts w:ascii="Times New Roman"/>
                <w:sz w:val="21"/>
                <w:highlight w:val="none"/>
              </w:rPr>
            </w:pPr>
          </w:p>
        </w:tc>
        <w:tc>
          <w:tcPr>
            <w:tcW w:w="2777" w:type="dxa"/>
          </w:tcPr>
          <w:p>
            <w:pPr>
              <w:pStyle w:val="29"/>
              <w:spacing w:before="104" w:line="319" w:lineRule="exact"/>
              <w:rPr>
                <w:rFonts w:ascii="Microsoft JhengHei" w:eastAsia="Microsoft JhengHei"/>
                <w:b/>
                <w:sz w:val="21"/>
                <w:highlight w:val="none"/>
                <w:lang w:val="en-US"/>
              </w:rPr>
            </w:pPr>
          </w:p>
        </w:tc>
        <w:tc>
          <w:tcPr>
            <w:tcW w:w="2682" w:type="dxa"/>
          </w:tcPr>
          <w:p>
            <w:pPr>
              <w:spacing w:before="104" w:line="319" w:lineRule="exact"/>
              <w:ind w:left="290"/>
              <w:jc w:val="center"/>
              <w:rPr>
                <w:rFonts w:ascii="Microsoft JhengHei" w:eastAsia="Microsoft JhengHei"/>
                <w:b/>
                <w:sz w:val="21"/>
                <w:highlight w:val="none"/>
                <w:lang w:val="en-US"/>
              </w:rPr>
            </w:pPr>
          </w:p>
        </w:tc>
        <w:tc>
          <w:tcPr>
            <w:tcW w:w="1573" w:type="dxa"/>
          </w:tcPr>
          <w:p>
            <w:pPr>
              <w:spacing w:before="104" w:line="319" w:lineRule="exact"/>
              <w:jc w:val="center"/>
              <w:rPr>
                <w:rFonts w:ascii="Microsoft JhengHei" w:eastAsia="Microsoft JhengHei"/>
                <w:b/>
                <w:sz w:val="21"/>
                <w:highlight w:val="none"/>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6" w:hRule="atLeast"/>
        </w:trPr>
        <w:tc>
          <w:tcPr>
            <w:tcW w:w="926" w:type="dxa"/>
          </w:tcPr>
          <w:p>
            <w:pPr>
              <w:pStyle w:val="29"/>
              <w:spacing w:before="195" w:line="229" w:lineRule="exact"/>
              <w:ind w:left="5"/>
              <w:jc w:val="center"/>
              <w:rPr>
                <w:rFonts w:ascii="Times New Roman"/>
                <w:sz w:val="21"/>
                <w:highlight w:val="none"/>
              </w:rPr>
            </w:pPr>
          </w:p>
        </w:tc>
        <w:tc>
          <w:tcPr>
            <w:tcW w:w="2777" w:type="dxa"/>
          </w:tcPr>
          <w:p>
            <w:pPr>
              <w:pStyle w:val="29"/>
              <w:spacing w:before="104" w:line="319" w:lineRule="exact"/>
              <w:rPr>
                <w:rFonts w:ascii="Microsoft JhengHei" w:eastAsia="Microsoft JhengHei"/>
                <w:b/>
                <w:sz w:val="21"/>
                <w:highlight w:val="none"/>
                <w:lang w:val="en-US"/>
              </w:rPr>
            </w:pPr>
          </w:p>
        </w:tc>
        <w:tc>
          <w:tcPr>
            <w:tcW w:w="2682" w:type="dxa"/>
          </w:tcPr>
          <w:p>
            <w:pPr>
              <w:spacing w:before="104" w:line="319" w:lineRule="exact"/>
              <w:ind w:left="290"/>
              <w:jc w:val="center"/>
              <w:rPr>
                <w:rFonts w:ascii="Microsoft JhengHei" w:eastAsia="Microsoft JhengHei"/>
                <w:b/>
                <w:sz w:val="21"/>
                <w:highlight w:val="none"/>
                <w:lang w:val="en-US"/>
              </w:rPr>
            </w:pPr>
          </w:p>
        </w:tc>
        <w:tc>
          <w:tcPr>
            <w:tcW w:w="1573" w:type="dxa"/>
          </w:tcPr>
          <w:p>
            <w:pPr>
              <w:spacing w:before="104" w:line="319" w:lineRule="exact"/>
              <w:jc w:val="center"/>
              <w:rPr>
                <w:rFonts w:ascii="Microsoft JhengHei" w:eastAsia="Microsoft JhengHei"/>
                <w:b/>
                <w:sz w:val="21"/>
                <w:highlight w:val="none"/>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5" w:hRule="atLeast"/>
        </w:trPr>
        <w:tc>
          <w:tcPr>
            <w:tcW w:w="926" w:type="dxa"/>
          </w:tcPr>
          <w:p>
            <w:pPr>
              <w:pStyle w:val="29"/>
              <w:spacing w:before="197" w:line="226" w:lineRule="exact"/>
              <w:ind w:left="5"/>
              <w:jc w:val="center"/>
              <w:rPr>
                <w:rFonts w:ascii="Times New Roman"/>
                <w:sz w:val="21"/>
                <w:highlight w:val="none"/>
              </w:rPr>
            </w:pPr>
          </w:p>
        </w:tc>
        <w:tc>
          <w:tcPr>
            <w:tcW w:w="2777" w:type="dxa"/>
          </w:tcPr>
          <w:p>
            <w:pPr>
              <w:pStyle w:val="29"/>
              <w:spacing w:before="104" w:line="319" w:lineRule="exact"/>
              <w:rPr>
                <w:rFonts w:ascii="Microsoft JhengHei" w:eastAsia="Microsoft JhengHei"/>
                <w:b/>
                <w:sz w:val="21"/>
                <w:highlight w:val="none"/>
              </w:rPr>
            </w:pPr>
          </w:p>
        </w:tc>
        <w:tc>
          <w:tcPr>
            <w:tcW w:w="2682" w:type="dxa"/>
          </w:tcPr>
          <w:p>
            <w:pPr>
              <w:spacing w:before="104" w:line="319" w:lineRule="exact"/>
              <w:ind w:left="290"/>
              <w:jc w:val="center"/>
              <w:rPr>
                <w:rFonts w:ascii="Microsoft JhengHei" w:eastAsia="Microsoft JhengHei"/>
                <w:b/>
                <w:sz w:val="21"/>
                <w:highlight w:val="none"/>
                <w:lang w:val="en-US"/>
              </w:rPr>
            </w:pPr>
          </w:p>
        </w:tc>
        <w:tc>
          <w:tcPr>
            <w:tcW w:w="1573" w:type="dxa"/>
          </w:tcPr>
          <w:p>
            <w:pPr>
              <w:spacing w:before="104" w:line="319" w:lineRule="exact"/>
              <w:jc w:val="center"/>
              <w:rPr>
                <w:rFonts w:ascii="Microsoft JhengHei" w:eastAsia="Microsoft JhengHei"/>
                <w:b/>
                <w:sz w:val="21"/>
                <w:highlight w:val="none"/>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4" w:hRule="atLeast"/>
        </w:trPr>
        <w:tc>
          <w:tcPr>
            <w:tcW w:w="926" w:type="dxa"/>
          </w:tcPr>
          <w:p>
            <w:pPr>
              <w:pStyle w:val="29"/>
              <w:spacing w:before="104" w:line="319" w:lineRule="exact"/>
              <w:jc w:val="center"/>
              <w:rPr>
                <w:rFonts w:ascii="Microsoft JhengHei" w:eastAsia="Microsoft JhengHei"/>
                <w:b/>
                <w:sz w:val="21"/>
                <w:highlight w:val="none"/>
                <w:lang w:val="en-US"/>
              </w:rPr>
            </w:pPr>
          </w:p>
        </w:tc>
        <w:tc>
          <w:tcPr>
            <w:tcW w:w="2777" w:type="dxa"/>
          </w:tcPr>
          <w:p>
            <w:pPr>
              <w:pStyle w:val="29"/>
              <w:spacing w:before="104" w:line="319" w:lineRule="exact"/>
              <w:rPr>
                <w:rFonts w:ascii="Microsoft JhengHei" w:eastAsia="Microsoft JhengHei"/>
                <w:b/>
                <w:sz w:val="21"/>
                <w:highlight w:val="none"/>
                <w:lang w:val="en-US"/>
              </w:rPr>
            </w:pPr>
          </w:p>
        </w:tc>
        <w:tc>
          <w:tcPr>
            <w:tcW w:w="2682" w:type="dxa"/>
          </w:tcPr>
          <w:p>
            <w:pPr>
              <w:spacing w:before="104" w:line="319" w:lineRule="exact"/>
              <w:ind w:left="290"/>
              <w:jc w:val="center"/>
              <w:rPr>
                <w:rFonts w:ascii="Microsoft JhengHei" w:eastAsia="Microsoft JhengHei"/>
                <w:b/>
                <w:sz w:val="21"/>
                <w:highlight w:val="none"/>
                <w:lang w:val="en-US"/>
              </w:rPr>
            </w:pPr>
          </w:p>
        </w:tc>
        <w:tc>
          <w:tcPr>
            <w:tcW w:w="1573" w:type="dxa"/>
          </w:tcPr>
          <w:p>
            <w:pPr>
              <w:spacing w:before="104" w:line="319" w:lineRule="exact"/>
              <w:jc w:val="center"/>
              <w:rPr>
                <w:rFonts w:ascii="Microsoft JhengHei" w:eastAsia="Microsoft JhengHei"/>
                <w:b/>
                <w:sz w:val="21"/>
                <w:highlight w:val="none"/>
                <w:lang w:val="en-US"/>
              </w:rPr>
            </w:pPr>
          </w:p>
        </w:tc>
      </w:tr>
    </w:tbl>
    <w:p>
      <w:pPr>
        <w:pStyle w:val="11"/>
        <w:spacing w:before="16"/>
        <w:rPr>
          <w:rFonts w:ascii="Microsoft JhengHei"/>
          <w:b/>
          <w:sz w:val="3"/>
          <w:highlight w:val="none"/>
        </w:rPr>
      </w:pPr>
    </w:p>
    <w:p>
      <w:pPr>
        <w:pStyle w:val="11"/>
        <w:spacing w:before="71"/>
        <w:ind w:left="820"/>
        <w:rPr>
          <w:highlight w:val="none"/>
        </w:rPr>
      </w:pPr>
      <w:r>
        <w:rPr>
          <w:highlight w:val="none"/>
        </w:rPr>
        <w:t>投标人保证：除商务和技术偏差表列出的偏差外，投标人响应招标文件的全部要求。</w:t>
      </w:r>
    </w:p>
    <w:p>
      <w:pPr>
        <w:rPr>
          <w:highlight w:val="none"/>
        </w:rPr>
        <w:sectPr>
          <w:pgSz w:w="12240" w:h="15840"/>
          <w:pgMar w:top="1400" w:right="1100" w:bottom="1120" w:left="1400" w:header="0" w:footer="841" w:gutter="0"/>
          <w:cols w:space="720" w:num="1"/>
        </w:sectPr>
      </w:pPr>
    </w:p>
    <w:p>
      <w:pPr>
        <w:pStyle w:val="11"/>
        <w:spacing w:before="5"/>
        <w:rPr>
          <w:sz w:val="11"/>
          <w:highlight w:val="none"/>
        </w:rPr>
      </w:pPr>
    </w:p>
    <w:p>
      <w:pPr>
        <w:pStyle w:val="4"/>
        <w:spacing w:line="538" w:lineRule="exact"/>
        <w:ind w:left="0" w:right="301" w:firstLine="0"/>
        <w:jc w:val="center"/>
        <w:rPr>
          <w:highlight w:val="none"/>
        </w:rPr>
      </w:pPr>
      <w:bookmarkStart w:id="233" w:name="_Toc28864"/>
      <w:bookmarkStart w:id="234" w:name="_Toc13413"/>
      <w:r>
        <w:rPr>
          <w:rFonts w:hint="eastAsia" w:eastAsia="宋体"/>
          <w:highlight w:val="none"/>
        </w:rPr>
        <w:t>五</w:t>
      </w:r>
      <w:r>
        <w:rPr>
          <w:highlight w:val="none"/>
        </w:rPr>
        <w:t>、资格审查资料</w:t>
      </w:r>
      <w:bookmarkEnd w:id="233"/>
      <w:bookmarkEnd w:id="234"/>
    </w:p>
    <w:p>
      <w:pPr>
        <w:pStyle w:val="11"/>
        <w:spacing w:before="5"/>
        <w:rPr>
          <w:rFonts w:ascii="Microsoft JhengHei"/>
          <w:b/>
          <w:sz w:val="10"/>
          <w:highlight w:val="none"/>
        </w:rPr>
      </w:pPr>
    </w:p>
    <w:p>
      <w:pPr>
        <w:pStyle w:val="5"/>
        <w:spacing w:before="62"/>
        <w:ind w:left="537" w:firstLine="0"/>
        <w:rPr>
          <w:highlight w:val="none"/>
        </w:rPr>
      </w:pPr>
      <w:bookmarkStart w:id="235" w:name="_bookmark155"/>
      <w:bookmarkEnd w:id="235"/>
      <w:bookmarkStart w:id="236" w:name="_Toc10559"/>
      <w:r>
        <w:rPr>
          <w:highlight w:val="none"/>
        </w:rPr>
        <w:t>（一）基本情况表</w:t>
      </w:r>
      <w:bookmarkEnd w:id="236"/>
    </w:p>
    <w:p>
      <w:pPr>
        <w:pStyle w:val="11"/>
        <w:spacing w:before="5"/>
        <w:rPr>
          <w:sz w:val="20"/>
          <w:highlight w:val="none"/>
        </w:rPr>
      </w:pPr>
    </w:p>
    <w:tbl>
      <w:tblPr>
        <w:tblStyle w:val="22"/>
        <w:tblW w:w="9439" w:type="dxa"/>
        <w:tblInd w:w="-3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44"/>
        <w:gridCol w:w="948"/>
        <w:gridCol w:w="2424"/>
        <w:gridCol w:w="1140"/>
        <w:gridCol w:w="22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9" w:hRule="atLeast"/>
        </w:trPr>
        <w:tc>
          <w:tcPr>
            <w:tcW w:w="2644" w:type="dxa"/>
          </w:tcPr>
          <w:p>
            <w:pPr>
              <w:pStyle w:val="29"/>
              <w:spacing w:before="142"/>
              <w:ind w:left="123" w:right="111"/>
              <w:jc w:val="center"/>
              <w:rPr>
                <w:sz w:val="21"/>
                <w:highlight w:val="none"/>
              </w:rPr>
            </w:pPr>
            <w:r>
              <w:rPr>
                <w:sz w:val="21"/>
                <w:highlight w:val="none"/>
              </w:rPr>
              <w:t>投标人名称</w:t>
            </w:r>
          </w:p>
        </w:tc>
        <w:tc>
          <w:tcPr>
            <w:tcW w:w="6795" w:type="dxa"/>
            <w:gridSpan w:val="4"/>
          </w:tcPr>
          <w:p>
            <w:pPr>
              <w:pStyle w:val="29"/>
              <w:rPr>
                <w:rFonts w:ascii="Times New Roman"/>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5" w:hRule="atLeast"/>
        </w:trPr>
        <w:tc>
          <w:tcPr>
            <w:tcW w:w="2644" w:type="dxa"/>
          </w:tcPr>
          <w:p>
            <w:pPr>
              <w:pStyle w:val="29"/>
              <w:spacing w:before="142"/>
              <w:ind w:left="120" w:right="111"/>
              <w:jc w:val="center"/>
              <w:rPr>
                <w:sz w:val="21"/>
                <w:highlight w:val="none"/>
              </w:rPr>
            </w:pPr>
            <w:r>
              <w:rPr>
                <w:sz w:val="21"/>
                <w:highlight w:val="none"/>
              </w:rPr>
              <w:t>注册资金</w:t>
            </w:r>
          </w:p>
        </w:tc>
        <w:tc>
          <w:tcPr>
            <w:tcW w:w="3372" w:type="dxa"/>
            <w:gridSpan w:val="2"/>
          </w:tcPr>
          <w:p>
            <w:pPr>
              <w:pStyle w:val="29"/>
              <w:rPr>
                <w:rFonts w:ascii="Times New Roman"/>
                <w:sz w:val="20"/>
                <w:highlight w:val="none"/>
              </w:rPr>
            </w:pPr>
          </w:p>
        </w:tc>
        <w:tc>
          <w:tcPr>
            <w:tcW w:w="1140" w:type="dxa"/>
          </w:tcPr>
          <w:p>
            <w:pPr>
              <w:pStyle w:val="29"/>
              <w:spacing w:before="142"/>
              <w:ind w:left="129" w:right="114"/>
              <w:jc w:val="center"/>
              <w:rPr>
                <w:sz w:val="21"/>
                <w:highlight w:val="none"/>
              </w:rPr>
            </w:pPr>
            <w:r>
              <w:rPr>
                <w:sz w:val="21"/>
                <w:highlight w:val="none"/>
              </w:rPr>
              <w:t>成立时间</w:t>
            </w:r>
          </w:p>
        </w:tc>
        <w:tc>
          <w:tcPr>
            <w:tcW w:w="2283" w:type="dxa"/>
          </w:tcPr>
          <w:p>
            <w:pPr>
              <w:pStyle w:val="29"/>
              <w:rPr>
                <w:rFonts w:ascii="Times New Roman"/>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2644" w:type="dxa"/>
          </w:tcPr>
          <w:p>
            <w:pPr>
              <w:pStyle w:val="29"/>
              <w:spacing w:before="142"/>
              <w:ind w:left="123" w:right="111"/>
              <w:jc w:val="center"/>
              <w:rPr>
                <w:sz w:val="21"/>
                <w:highlight w:val="none"/>
              </w:rPr>
            </w:pPr>
            <w:r>
              <w:rPr>
                <w:sz w:val="21"/>
                <w:highlight w:val="none"/>
              </w:rPr>
              <w:t>注册地址</w:t>
            </w:r>
          </w:p>
        </w:tc>
        <w:tc>
          <w:tcPr>
            <w:tcW w:w="6795" w:type="dxa"/>
            <w:gridSpan w:val="4"/>
          </w:tcPr>
          <w:p>
            <w:pPr>
              <w:pStyle w:val="29"/>
              <w:rPr>
                <w:rFonts w:ascii="Times New Roman"/>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6" w:hRule="atLeast"/>
        </w:trPr>
        <w:tc>
          <w:tcPr>
            <w:tcW w:w="2644" w:type="dxa"/>
          </w:tcPr>
          <w:p>
            <w:pPr>
              <w:pStyle w:val="29"/>
              <w:spacing w:before="143"/>
              <w:ind w:left="123" w:right="111"/>
              <w:jc w:val="center"/>
              <w:rPr>
                <w:sz w:val="21"/>
                <w:highlight w:val="none"/>
              </w:rPr>
            </w:pPr>
            <w:r>
              <w:rPr>
                <w:sz w:val="21"/>
                <w:highlight w:val="none"/>
              </w:rPr>
              <w:t>邮政编码</w:t>
            </w:r>
          </w:p>
        </w:tc>
        <w:tc>
          <w:tcPr>
            <w:tcW w:w="3372" w:type="dxa"/>
            <w:gridSpan w:val="2"/>
          </w:tcPr>
          <w:p>
            <w:pPr>
              <w:pStyle w:val="29"/>
              <w:rPr>
                <w:rFonts w:ascii="Times New Roman"/>
                <w:sz w:val="20"/>
                <w:highlight w:val="none"/>
              </w:rPr>
            </w:pPr>
          </w:p>
        </w:tc>
        <w:tc>
          <w:tcPr>
            <w:tcW w:w="1140" w:type="dxa"/>
          </w:tcPr>
          <w:p>
            <w:pPr>
              <w:pStyle w:val="29"/>
              <w:spacing w:before="143"/>
              <w:ind w:left="129" w:right="114"/>
              <w:jc w:val="center"/>
              <w:rPr>
                <w:sz w:val="21"/>
                <w:highlight w:val="none"/>
              </w:rPr>
            </w:pPr>
            <w:r>
              <w:rPr>
                <w:sz w:val="21"/>
                <w:highlight w:val="none"/>
              </w:rPr>
              <w:t>员工总数</w:t>
            </w:r>
          </w:p>
        </w:tc>
        <w:tc>
          <w:tcPr>
            <w:tcW w:w="2283" w:type="dxa"/>
          </w:tcPr>
          <w:p>
            <w:pPr>
              <w:pStyle w:val="29"/>
              <w:rPr>
                <w:rFonts w:ascii="Times New Roman"/>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2644" w:type="dxa"/>
            <w:vMerge w:val="restart"/>
          </w:tcPr>
          <w:p>
            <w:pPr>
              <w:pStyle w:val="29"/>
              <w:spacing w:before="9"/>
              <w:rPr>
                <w:sz w:val="28"/>
                <w:highlight w:val="none"/>
              </w:rPr>
            </w:pPr>
          </w:p>
          <w:p>
            <w:pPr>
              <w:pStyle w:val="29"/>
              <w:ind w:left="666"/>
              <w:rPr>
                <w:sz w:val="21"/>
                <w:highlight w:val="none"/>
              </w:rPr>
            </w:pPr>
            <w:r>
              <w:rPr>
                <w:sz w:val="21"/>
                <w:highlight w:val="none"/>
              </w:rPr>
              <w:t>联系方式</w:t>
            </w:r>
          </w:p>
        </w:tc>
        <w:tc>
          <w:tcPr>
            <w:tcW w:w="948" w:type="dxa"/>
          </w:tcPr>
          <w:p>
            <w:pPr>
              <w:pStyle w:val="29"/>
              <w:spacing w:before="142"/>
              <w:ind w:left="153"/>
              <w:rPr>
                <w:sz w:val="21"/>
                <w:highlight w:val="none"/>
              </w:rPr>
            </w:pPr>
            <w:r>
              <w:rPr>
                <w:sz w:val="21"/>
                <w:highlight w:val="none"/>
              </w:rPr>
              <w:t>联系人</w:t>
            </w:r>
          </w:p>
        </w:tc>
        <w:tc>
          <w:tcPr>
            <w:tcW w:w="2424" w:type="dxa"/>
          </w:tcPr>
          <w:p>
            <w:pPr>
              <w:pStyle w:val="29"/>
              <w:rPr>
                <w:rFonts w:ascii="Times New Roman"/>
                <w:sz w:val="20"/>
                <w:highlight w:val="none"/>
              </w:rPr>
            </w:pPr>
          </w:p>
        </w:tc>
        <w:tc>
          <w:tcPr>
            <w:tcW w:w="1140" w:type="dxa"/>
          </w:tcPr>
          <w:p>
            <w:pPr>
              <w:pStyle w:val="29"/>
              <w:spacing w:before="142"/>
              <w:ind w:left="129" w:right="112"/>
              <w:jc w:val="center"/>
              <w:rPr>
                <w:sz w:val="21"/>
                <w:highlight w:val="none"/>
              </w:rPr>
            </w:pPr>
            <w:r>
              <w:rPr>
                <w:sz w:val="21"/>
                <w:highlight w:val="none"/>
              </w:rPr>
              <w:t>电话</w:t>
            </w:r>
          </w:p>
        </w:tc>
        <w:tc>
          <w:tcPr>
            <w:tcW w:w="2283" w:type="dxa"/>
          </w:tcPr>
          <w:p>
            <w:pPr>
              <w:pStyle w:val="29"/>
              <w:rPr>
                <w:rFonts w:ascii="Times New Roman"/>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2644" w:type="dxa"/>
            <w:vMerge w:val="continue"/>
            <w:tcBorders>
              <w:top w:val="nil"/>
            </w:tcBorders>
          </w:tcPr>
          <w:p>
            <w:pPr>
              <w:rPr>
                <w:sz w:val="2"/>
                <w:szCs w:val="2"/>
                <w:highlight w:val="none"/>
              </w:rPr>
            </w:pPr>
          </w:p>
        </w:tc>
        <w:tc>
          <w:tcPr>
            <w:tcW w:w="948" w:type="dxa"/>
          </w:tcPr>
          <w:p>
            <w:pPr>
              <w:pStyle w:val="29"/>
              <w:spacing w:before="142"/>
              <w:ind w:left="259"/>
              <w:rPr>
                <w:sz w:val="21"/>
                <w:highlight w:val="none"/>
              </w:rPr>
            </w:pPr>
            <w:r>
              <w:rPr>
                <w:sz w:val="21"/>
                <w:highlight w:val="none"/>
              </w:rPr>
              <w:t>网址</w:t>
            </w:r>
          </w:p>
        </w:tc>
        <w:tc>
          <w:tcPr>
            <w:tcW w:w="2424" w:type="dxa"/>
          </w:tcPr>
          <w:p>
            <w:pPr>
              <w:pStyle w:val="29"/>
              <w:rPr>
                <w:rFonts w:ascii="Times New Roman"/>
                <w:sz w:val="20"/>
                <w:highlight w:val="none"/>
              </w:rPr>
            </w:pPr>
          </w:p>
        </w:tc>
        <w:tc>
          <w:tcPr>
            <w:tcW w:w="1140" w:type="dxa"/>
          </w:tcPr>
          <w:p>
            <w:pPr>
              <w:pStyle w:val="29"/>
              <w:spacing w:before="142"/>
              <w:ind w:left="129" w:right="112"/>
              <w:jc w:val="center"/>
              <w:rPr>
                <w:sz w:val="21"/>
                <w:highlight w:val="none"/>
              </w:rPr>
            </w:pPr>
            <w:r>
              <w:rPr>
                <w:sz w:val="21"/>
                <w:highlight w:val="none"/>
              </w:rPr>
              <w:t>传真</w:t>
            </w:r>
          </w:p>
        </w:tc>
        <w:tc>
          <w:tcPr>
            <w:tcW w:w="2283" w:type="dxa"/>
          </w:tcPr>
          <w:p>
            <w:pPr>
              <w:pStyle w:val="29"/>
              <w:rPr>
                <w:rFonts w:ascii="Times New Roman"/>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74" w:hRule="atLeast"/>
        </w:trPr>
        <w:tc>
          <w:tcPr>
            <w:tcW w:w="2644" w:type="dxa"/>
          </w:tcPr>
          <w:p>
            <w:pPr>
              <w:pStyle w:val="29"/>
              <w:spacing w:before="142"/>
              <w:ind w:left="123" w:right="111"/>
              <w:jc w:val="center"/>
              <w:rPr>
                <w:sz w:val="21"/>
                <w:highlight w:val="none"/>
              </w:rPr>
            </w:pPr>
            <w:r>
              <w:rPr>
                <w:sz w:val="21"/>
                <w:highlight w:val="none"/>
              </w:rPr>
              <w:t>法定代表人</w:t>
            </w:r>
          </w:p>
          <w:p>
            <w:pPr>
              <w:pStyle w:val="29"/>
              <w:spacing w:before="173"/>
              <w:ind w:left="18" w:right="111"/>
              <w:jc w:val="center"/>
              <w:rPr>
                <w:sz w:val="21"/>
                <w:highlight w:val="none"/>
              </w:rPr>
            </w:pPr>
            <w:r>
              <w:rPr>
                <w:sz w:val="21"/>
                <w:highlight w:val="none"/>
              </w:rPr>
              <w:t>（单位负责人）</w:t>
            </w:r>
          </w:p>
        </w:tc>
        <w:tc>
          <w:tcPr>
            <w:tcW w:w="948" w:type="dxa"/>
          </w:tcPr>
          <w:p>
            <w:pPr>
              <w:pStyle w:val="29"/>
              <w:spacing w:before="4"/>
              <w:rPr>
                <w:sz w:val="28"/>
                <w:highlight w:val="none"/>
              </w:rPr>
            </w:pPr>
          </w:p>
          <w:p>
            <w:pPr>
              <w:pStyle w:val="29"/>
              <w:ind w:left="259"/>
              <w:rPr>
                <w:sz w:val="21"/>
                <w:highlight w:val="none"/>
              </w:rPr>
            </w:pPr>
            <w:r>
              <w:rPr>
                <w:sz w:val="21"/>
                <w:highlight w:val="none"/>
              </w:rPr>
              <w:t>姓名</w:t>
            </w:r>
          </w:p>
        </w:tc>
        <w:tc>
          <w:tcPr>
            <w:tcW w:w="2424" w:type="dxa"/>
          </w:tcPr>
          <w:p>
            <w:pPr>
              <w:pStyle w:val="29"/>
              <w:rPr>
                <w:rFonts w:ascii="Times New Roman"/>
                <w:sz w:val="20"/>
                <w:highlight w:val="none"/>
              </w:rPr>
            </w:pPr>
          </w:p>
        </w:tc>
        <w:tc>
          <w:tcPr>
            <w:tcW w:w="1140" w:type="dxa"/>
          </w:tcPr>
          <w:p>
            <w:pPr>
              <w:pStyle w:val="29"/>
              <w:spacing w:before="4"/>
              <w:rPr>
                <w:sz w:val="28"/>
                <w:highlight w:val="none"/>
              </w:rPr>
            </w:pPr>
          </w:p>
          <w:p>
            <w:pPr>
              <w:pStyle w:val="29"/>
              <w:ind w:left="129" w:right="112"/>
              <w:jc w:val="center"/>
              <w:rPr>
                <w:sz w:val="21"/>
                <w:highlight w:val="none"/>
              </w:rPr>
            </w:pPr>
            <w:r>
              <w:rPr>
                <w:sz w:val="21"/>
                <w:highlight w:val="none"/>
              </w:rPr>
              <w:t>电话</w:t>
            </w:r>
          </w:p>
        </w:tc>
        <w:tc>
          <w:tcPr>
            <w:tcW w:w="2283" w:type="dxa"/>
          </w:tcPr>
          <w:p>
            <w:pPr>
              <w:pStyle w:val="29"/>
              <w:rPr>
                <w:rFonts w:ascii="Times New Roman"/>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37" w:hRule="atLeast"/>
        </w:trPr>
        <w:tc>
          <w:tcPr>
            <w:tcW w:w="2644" w:type="dxa"/>
          </w:tcPr>
          <w:p>
            <w:pPr>
              <w:pStyle w:val="29"/>
              <w:spacing w:before="142"/>
              <w:ind w:left="141"/>
              <w:rPr>
                <w:sz w:val="21"/>
                <w:highlight w:val="none"/>
              </w:rPr>
            </w:pPr>
            <w:r>
              <w:rPr>
                <w:sz w:val="21"/>
                <w:highlight w:val="none"/>
              </w:rPr>
              <w:t>投标人须知要求投标</w:t>
            </w:r>
          </w:p>
          <w:p>
            <w:pPr>
              <w:pStyle w:val="29"/>
              <w:spacing w:before="2" w:line="440" w:lineRule="atLeast"/>
              <w:ind w:left="875" w:right="126" w:hanging="735"/>
              <w:rPr>
                <w:sz w:val="21"/>
                <w:highlight w:val="none"/>
              </w:rPr>
            </w:pPr>
            <w:r>
              <w:rPr>
                <w:sz w:val="21"/>
                <w:highlight w:val="none"/>
              </w:rPr>
              <w:t>人需具有的各类资质证书</w:t>
            </w:r>
          </w:p>
        </w:tc>
        <w:tc>
          <w:tcPr>
            <w:tcW w:w="948" w:type="dxa"/>
            <w:tcBorders>
              <w:right w:val="nil"/>
            </w:tcBorders>
          </w:tcPr>
          <w:p>
            <w:pPr>
              <w:pStyle w:val="29"/>
              <w:rPr>
                <w:sz w:val="20"/>
                <w:highlight w:val="none"/>
              </w:rPr>
            </w:pPr>
          </w:p>
          <w:p>
            <w:pPr>
              <w:pStyle w:val="29"/>
              <w:spacing w:before="7"/>
              <w:rPr>
                <w:sz w:val="25"/>
                <w:highlight w:val="none"/>
              </w:rPr>
            </w:pPr>
          </w:p>
          <w:p>
            <w:pPr>
              <w:pStyle w:val="29"/>
              <w:ind w:left="211"/>
              <w:rPr>
                <w:sz w:val="21"/>
                <w:highlight w:val="none"/>
              </w:rPr>
            </w:pPr>
            <w:r>
              <w:rPr>
                <w:sz w:val="21"/>
                <w:highlight w:val="none"/>
              </w:rPr>
              <w:t>类型：</w:t>
            </w:r>
          </w:p>
        </w:tc>
        <w:tc>
          <w:tcPr>
            <w:tcW w:w="2424" w:type="dxa"/>
            <w:tcBorders>
              <w:left w:val="nil"/>
              <w:right w:val="nil"/>
            </w:tcBorders>
          </w:tcPr>
          <w:p>
            <w:pPr>
              <w:pStyle w:val="29"/>
              <w:rPr>
                <w:sz w:val="20"/>
                <w:highlight w:val="none"/>
              </w:rPr>
            </w:pPr>
          </w:p>
          <w:p>
            <w:pPr>
              <w:pStyle w:val="29"/>
              <w:spacing w:before="7"/>
              <w:rPr>
                <w:sz w:val="25"/>
                <w:highlight w:val="none"/>
              </w:rPr>
            </w:pPr>
          </w:p>
          <w:p>
            <w:pPr>
              <w:pStyle w:val="29"/>
              <w:ind w:left="1376"/>
              <w:rPr>
                <w:sz w:val="21"/>
                <w:highlight w:val="none"/>
              </w:rPr>
            </w:pPr>
            <w:r>
              <w:rPr>
                <w:sz w:val="21"/>
                <w:highlight w:val="none"/>
              </w:rPr>
              <w:t>等级：</w:t>
            </w:r>
          </w:p>
        </w:tc>
        <w:tc>
          <w:tcPr>
            <w:tcW w:w="3423" w:type="dxa"/>
            <w:gridSpan w:val="2"/>
            <w:tcBorders>
              <w:left w:val="nil"/>
            </w:tcBorders>
          </w:tcPr>
          <w:p>
            <w:pPr>
              <w:pStyle w:val="29"/>
              <w:rPr>
                <w:sz w:val="20"/>
                <w:highlight w:val="none"/>
              </w:rPr>
            </w:pPr>
          </w:p>
          <w:p>
            <w:pPr>
              <w:pStyle w:val="29"/>
              <w:spacing w:before="7"/>
              <w:rPr>
                <w:sz w:val="25"/>
                <w:highlight w:val="none"/>
              </w:rPr>
            </w:pPr>
          </w:p>
          <w:p>
            <w:pPr>
              <w:pStyle w:val="29"/>
              <w:ind w:left="1067"/>
              <w:rPr>
                <w:sz w:val="21"/>
                <w:highlight w:val="none"/>
              </w:rPr>
            </w:pPr>
            <w:r>
              <w:rPr>
                <w:sz w:val="21"/>
                <w:highlight w:val="none"/>
              </w:rPr>
              <w:t>证书号：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4" w:hRule="atLeast"/>
        </w:trPr>
        <w:tc>
          <w:tcPr>
            <w:tcW w:w="2644" w:type="dxa"/>
          </w:tcPr>
          <w:p>
            <w:pPr>
              <w:pStyle w:val="29"/>
              <w:spacing w:before="142"/>
              <w:ind w:left="123" w:right="111"/>
              <w:jc w:val="center"/>
              <w:rPr>
                <w:sz w:val="21"/>
                <w:highlight w:val="none"/>
              </w:rPr>
            </w:pPr>
            <w:r>
              <w:rPr>
                <w:sz w:val="21"/>
                <w:highlight w:val="none"/>
              </w:rPr>
              <w:t>开户银行</w:t>
            </w:r>
          </w:p>
        </w:tc>
        <w:tc>
          <w:tcPr>
            <w:tcW w:w="6795" w:type="dxa"/>
            <w:gridSpan w:val="4"/>
          </w:tcPr>
          <w:p>
            <w:pPr>
              <w:pStyle w:val="29"/>
              <w:rPr>
                <w:rFonts w:ascii="Times New Roman"/>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2644" w:type="dxa"/>
          </w:tcPr>
          <w:p>
            <w:pPr>
              <w:pStyle w:val="29"/>
              <w:spacing w:before="142"/>
              <w:ind w:left="123" w:right="111"/>
              <w:jc w:val="center"/>
              <w:rPr>
                <w:sz w:val="21"/>
                <w:highlight w:val="none"/>
              </w:rPr>
            </w:pPr>
            <w:r>
              <w:rPr>
                <w:sz w:val="21"/>
                <w:highlight w:val="none"/>
              </w:rPr>
              <w:t>银行账号</w:t>
            </w:r>
          </w:p>
        </w:tc>
        <w:tc>
          <w:tcPr>
            <w:tcW w:w="6795" w:type="dxa"/>
            <w:gridSpan w:val="4"/>
          </w:tcPr>
          <w:p>
            <w:pPr>
              <w:pStyle w:val="29"/>
              <w:rPr>
                <w:rFonts w:ascii="Times New Roman"/>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82" w:hRule="atLeast"/>
        </w:trPr>
        <w:tc>
          <w:tcPr>
            <w:tcW w:w="2644" w:type="dxa"/>
          </w:tcPr>
          <w:p>
            <w:pPr>
              <w:pStyle w:val="29"/>
              <w:spacing w:before="142"/>
              <w:ind w:left="141"/>
              <w:jc w:val="center"/>
              <w:rPr>
                <w:sz w:val="21"/>
                <w:highlight w:val="none"/>
              </w:rPr>
            </w:pPr>
            <w:r>
              <w:rPr>
                <w:spacing w:val="-3"/>
                <w:sz w:val="21"/>
                <w:highlight w:val="none"/>
              </w:rPr>
              <w:t>投标人关联企业情况</w:t>
            </w:r>
            <w:r>
              <w:rPr>
                <w:sz w:val="21"/>
                <w:highlight w:val="none"/>
              </w:rPr>
              <w:t>（</w:t>
            </w:r>
            <w:r>
              <w:rPr>
                <w:spacing w:val="-3"/>
                <w:sz w:val="21"/>
                <w:highlight w:val="none"/>
              </w:rPr>
              <w:t>包括但不限于与投标人法定代表人</w:t>
            </w:r>
            <w:r>
              <w:rPr>
                <w:sz w:val="21"/>
                <w:highlight w:val="none"/>
              </w:rPr>
              <w:t>（</w:t>
            </w:r>
            <w:r>
              <w:rPr>
                <w:spacing w:val="-15"/>
                <w:sz w:val="21"/>
                <w:highlight w:val="none"/>
              </w:rPr>
              <w:t>单</w:t>
            </w:r>
            <w:r>
              <w:rPr>
                <w:spacing w:val="-1"/>
                <w:sz w:val="21"/>
                <w:highlight w:val="none"/>
              </w:rPr>
              <w:t>位负责人</w:t>
            </w:r>
            <w:r>
              <w:rPr>
                <w:spacing w:val="-3"/>
                <w:sz w:val="21"/>
                <w:highlight w:val="none"/>
              </w:rPr>
              <w:t>）</w:t>
            </w:r>
            <w:r>
              <w:rPr>
                <w:spacing w:val="-6"/>
                <w:sz w:val="21"/>
                <w:highlight w:val="none"/>
              </w:rPr>
              <w:t>为同一人</w:t>
            </w:r>
            <w:r>
              <w:rPr>
                <w:spacing w:val="-5"/>
                <w:sz w:val="21"/>
                <w:highlight w:val="none"/>
              </w:rPr>
              <w:t>或者存在控股、管理</w:t>
            </w:r>
            <w:r>
              <w:rPr>
                <w:spacing w:val="-3"/>
                <w:sz w:val="21"/>
                <w:highlight w:val="none"/>
              </w:rPr>
              <w:t>关系的不同单位</w:t>
            </w:r>
            <w:r>
              <w:rPr>
                <w:sz w:val="21"/>
                <w:highlight w:val="none"/>
              </w:rPr>
              <w:t>）</w:t>
            </w:r>
          </w:p>
        </w:tc>
        <w:tc>
          <w:tcPr>
            <w:tcW w:w="6795" w:type="dxa"/>
            <w:gridSpan w:val="4"/>
          </w:tcPr>
          <w:p>
            <w:pPr>
              <w:pStyle w:val="29"/>
              <w:rPr>
                <w:rFonts w:ascii="Times New Roman"/>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trPr>
        <w:tc>
          <w:tcPr>
            <w:tcW w:w="2644" w:type="dxa"/>
          </w:tcPr>
          <w:p>
            <w:pPr>
              <w:pStyle w:val="29"/>
              <w:spacing w:before="145" w:line="391" w:lineRule="auto"/>
              <w:ind w:right="126"/>
              <w:jc w:val="center"/>
              <w:rPr>
                <w:spacing w:val="-2"/>
                <w:sz w:val="21"/>
                <w:highlight w:val="none"/>
              </w:rPr>
            </w:pPr>
            <w:r>
              <w:rPr>
                <w:spacing w:val="-2"/>
                <w:sz w:val="21"/>
                <w:highlight w:val="none"/>
              </w:rPr>
              <w:t>投标人须知要求</w:t>
            </w:r>
          </w:p>
          <w:p>
            <w:pPr>
              <w:pStyle w:val="29"/>
              <w:spacing w:before="145" w:line="391" w:lineRule="auto"/>
              <w:ind w:right="126"/>
              <w:jc w:val="center"/>
              <w:rPr>
                <w:sz w:val="21"/>
                <w:highlight w:val="none"/>
              </w:rPr>
            </w:pPr>
            <w:r>
              <w:rPr>
                <w:spacing w:val="-5"/>
                <w:sz w:val="21"/>
                <w:highlight w:val="none"/>
              </w:rPr>
              <w:t>具</w:t>
            </w:r>
            <w:r>
              <w:rPr>
                <w:sz w:val="21"/>
                <w:highlight w:val="none"/>
              </w:rPr>
              <w:t>有的资质证书</w:t>
            </w:r>
          </w:p>
        </w:tc>
        <w:tc>
          <w:tcPr>
            <w:tcW w:w="6795" w:type="dxa"/>
            <w:gridSpan w:val="4"/>
          </w:tcPr>
          <w:p>
            <w:pPr>
              <w:pStyle w:val="29"/>
              <w:rPr>
                <w:rFonts w:ascii="Times New Roman"/>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 w:hRule="atLeast"/>
        </w:trPr>
        <w:tc>
          <w:tcPr>
            <w:tcW w:w="2644" w:type="dxa"/>
          </w:tcPr>
          <w:p>
            <w:pPr>
              <w:pStyle w:val="29"/>
              <w:spacing w:before="142"/>
              <w:ind w:left="120" w:right="111"/>
              <w:jc w:val="center"/>
              <w:rPr>
                <w:sz w:val="21"/>
                <w:highlight w:val="none"/>
              </w:rPr>
            </w:pPr>
            <w:r>
              <w:rPr>
                <w:sz w:val="21"/>
                <w:highlight w:val="none"/>
              </w:rPr>
              <w:t>备注</w:t>
            </w:r>
          </w:p>
        </w:tc>
        <w:tc>
          <w:tcPr>
            <w:tcW w:w="6795" w:type="dxa"/>
            <w:gridSpan w:val="4"/>
          </w:tcPr>
          <w:p>
            <w:pPr>
              <w:pStyle w:val="29"/>
              <w:rPr>
                <w:rFonts w:ascii="Times New Roman"/>
                <w:sz w:val="20"/>
                <w:highlight w:val="none"/>
              </w:rPr>
            </w:pPr>
          </w:p>
        </w:tc>
      </w:tr>
    </w:tbl>
    <w:p>
      <w:pPr>
        <w:pStyle w:val="11"/>
        <w:spacing w:before="49" w:line="357" w:lineRule="auto"/>
        <w:ind w:left="400" w:right="693"/>
        <w:rPr>
          <w:rFonts w:cs="仿宋"/>
          <w:b/>
          <w:bCs/>
          <w:highlight w:val="none"/>
          <w:lang w:val="en-US"/>
        </w:rPr>
      </w:pPr>
      <w:r>
        <w:rPr>
          <w:b/>
          <w:bCs/>
          <w:highlight w:val="none"/>
        </w:rPr>
        <w:t>注：</w:t>
      </w:r>
      <w:r>
        <w:rPr>
          <w:rFonts w:hint="eastAsia"/>
          <w:b/>
          <w:bCs/>
          <w:highlight w:val="none"/>
          <w:lang w:val="en-US"/>
        </w:rPr>
        <w:t>1.</w:t>
      </w:r>
      <w:r>
        <w:rPr>
          <w:rFonts w:ascii="Times New Roman" w:hAnsi="Times New Roman"/>
          <w:b/>
          <w:bCs/>
          <w:highlight w:val="none"/>
        </w:rPr>
        <w:t>投标人应根据投标人须知第</w:t>
      </w:r>
      <w:r>
        <w:rPr>
          <w:rFonts w:hint="eastAsia" w:ascii="Times New Roman" w:hAnsi="Times New Roman"/>
          <w:b/>
          <w:bCs/>
          <w:highlight w:val="none"/>
          <w:lang w:val="en-US"/>
        </w:rPr>
        <w:t>1.4.1</w:t>
      </w:r>
      <w:r>
        <w:rPr>
          <w:rFonts w:ascii="Times New Roman" w:hAnsi="Times New Roman"/>
          <w:b/>
          <w:bCs/>
          <w:highlight w:val="none"/>
        </w:rPr>
        <w:t>项的要求在本表后附相关资质证书复印件</w:t>
      </w:r>
      <w:r>
        <w:rPr>
          <w:rFonts w:hint="eastAsia" w:ascii="Times New Roman" w:hAnsi="Times New Roman"/>
          <w:b/>
          <w:bCs/>
          <w:highlight w:val="none"/>
        </w:rPr>
        <w:t>、</w:t>
      </w:r>
      <w:r>
        <w:rPr>
          <w:rFonts w:hint="eastAsia" w:cs="仿宋"/>
          <w:b/>
          <w:bCs/>
          <w:highlight w:val="none"/>
          <w:lang w:val="en-US"/>
        </w:rPr>
        <w:t>承诺书等所有资料均需加盖投标单位鲜章；</w:t>
      </w:r>
    </w:p>
    <w:p>
      <w:pPr>
        <w:pStyle w:val="11"/>
        <w:spacing w:before="49" w:line="357" w:lineRule="auto"/>
        <w:ind w:left="400" w:right="693"/>
        <w:rPr>
          <w:rFonts w:cs="仿宋"/>
          <w:highlight w:val="none"/>
          <w:lang w:val="en-US"/>
        </w:rPr>
      </w:pPr>
    </w:p>
    <w:p>
      <w:pPr>
        <w:spacing w:line="357" w:lineRule="auto"/>
        <w:rPr>
          <w:highlight w:val="none"/>
        </w:rPr>
      </w:pPr>
    </w:p>
    <w:p>
      <w:pPr>
        <w:adjustRightInd w:val="0"/>
        <w:snapToGrid w:val="0"/>
        <w:spacing w:line="360" w:lineRule="auto"/>
        <w:rPr>
          <w:b/>
          <w:color w:val="000000"/>
          <w:szCs w:val="21"/>
          <w:highlight w:val="none"/>
        </w:rPr>
      </w:pPr>
      <w:r>
        <w:rPr>
          <w:rFonts w:hint="eastAsia"/>
          <w:sz w:val="28"/>
          <w:szCs w:val="28"/>
          <w:highlight w:val="none"/>
        </w:rPr>
        <w:t>附表：</w:t>
      </w:r>
    </w:p>
    <w:p>
      <w:pPr>
        <w:adjustRightInd w:val="0"/>
        <w:snapToGrid w:val="0"/>
        <w:spacing w:line="360" w:lineRule="auto"/>
        <w:rPr>
          <w:b/>
          <w:color w:val="000000"/>
          <w:szCs w:val="21"/>
          <w:highlight w:val="none"/>
        </w:rPr>
      </w:pPr>
      <w:r>
        <w:rPr>
          <w:rFonts w:hint="eastAsia"/>
          <w:b/>
          <w:color w:val="000000"/>
          <w:szCs w:val="21"/>
          <w:highlight w:val="none"/>
        </w:rPr>
        <w:t>1、基本情况</w:t>
      </w:r>
    </w:p>
    <w:p>
      <w:pPr>
        <w:adjustRightInd w:val="0"/>
        <w:snapToGrid w:val="0"/>
        <w:spacing w:line="360" w:lineRule="auto"/>
        <w:ind w:firstLine="281" w:firstLineChars="128"/>
        <w:rPr>
          <w:color w:val="000000"/>
          <w:szCs w:val="21"/>
          <w:highlight w:val="none"/>
          <w:u w:val="single"/>
        </w:rPr>
      </w:pPr>
      <w:r>
        <w:rPr>
          <w:rFonts w:hint="eastAsia"/>
          <w:color w:val="000000"/>
          <w:szCs w:val="21"/>
          <w:highlight w:val="none"/>
        </w:rPr>
        <w:t>（1）</w:t>
      </w:r>
      <w:r>
        <w:rPr>
          <w:rFonts w:hint="eastAsia"/>
          <w:color w:val="000000"/>
          <w:szCs w:val="21"/>
          <w:highlight w:val="none"/>
          <w:lang w:val="en-US"/>
        </w:rPr>
        <w:t>投标</w:t>
      </w:r>
      <w:r>
        <w:rPr>
          <w:rFonts w:hint="eastAsia"/>
          <w:color w:val="000000"/>
          <w:szCs w:val="21"/>
          <w:highlight w:val="none"/>
        </w:rPr>
        <w:t>人名称：</w:t>
      </w:r>
      <w:r>
        <w:rPr>
          <w:rFonts w:hint="eastAsia"/>
          <w:color w:val="000000"/>
          <w:szCs w:val="21"/>
          <w:highlight w:val="none"/>
          <w:u w:val="single"/>
        </w:rPr>
        <w:t xml:space="preserve">                                  </w:t>
      </w:r>
    </w:p>
    <w:p>
      <w:pPr>
        <w:adjustRightInd w:val="0"/>
        <w:snapToGrid w:val="0"/>
        <w:spacing w:line="360" w:lineRule="auto"/>
        <w:ind w:firstLine="281" w:firstLineChars="128"/>
        <w:rPr>
          <w:color w:val="000000"/>
          <w:szCs w:val="21"/>
          <w:highlight w:val="none"/>
          <w:u w:val="single"/>
        </w:rPr>
      </w:pPr>
      <w:r>
        <w:rPr>
          <w:rFonts w:hint="eastAsia"/>
          <w:color w:val="000000"/>
          <w:szCs w:val="21"/>
          <w:highlight w:val="none"/>
        </w:rPr>
        <w:t>（2）地址：</w:t>
      </w:r>
      <w:r>
        <w:rPr>
          <w:rFonts w:hint="eastAsia"/>
          <w:color w:val="000000"/>
          <w:szCs w:val="21"/>
          <w:highlight w:val="none"/>
          <w:u w:val="single"/>
        </w:rPr>
        <w:t xml:space="preserve">                                        </w:t>
      </w:r>
    </w:p>
    <w:p>
      <w:pPr>
        <w:adjustRightInd w:val="0"/>
        <w:snapToGrid w:val="0"/>
        <w:spacing w:line="360" w:lineRule="auto"/>
        <w:ind w:firstLine="281" w:firstLineChars="128"/>
        <w:rPr>
          <w:color w:val="000000"/>
          <w:szCs w:val="21"/>
          <w:highlight w:val="none"/>
          <w:u w:val="single"/>
        </w:rPr>
      </w:pPr>
      <w:r>
        <w:rPr>
          <w:rFonts w:hint="eastAsia"/>
          <w:color w:val="000000"/>
          <w:szCs w:val="21"/>
          <w:highlight w:val="none"/>
        </w:rPr>
        <w:t>（3）注册日期：</w:t>
      </w:r>
      <w:r>
        <w:rPr>
          <w:rFonts w:hint="eastAsia"/>
          <w:color w:val="000000"/>
          <w:szCs w:val="21"/>
          <w:highlight w:val="none"/>
          <w:u w:val="single"/>
        </w:rPr>
        <w:t xml:space="preserve">                                    </w:t>
      </w:r>
    </w:p>
    <w:p>
      <w:pPr>
        <w:adjustRightInd w:val="0"/>
        <w:snapToGrid w:val="0"/>
        <w:spacing w:line="360" w:lineRule="auto"/>
        <w:ind w:firstLine="281" w:firstLineChars="128"/>
        <w:rPr>
          <w:color w:val="000000"/>
          <w:szCs w:val="21"/>
          <w:highlight w:val="none"/>
          <w:u w:val="single"/>
        </w:rPr>
      </w:pPr>
      <w:r>
        <w:rPr>
          <w:rFonts w:hint="eastAsia"/>
          <w:color w:val="000000"/>
          <w:szCs w:val="21"/>
          <w:highlight w:val="none"/>
        </w:rPr>
        <w:t>（4）法定代表人：</w:t>
      </w:r>
      <w:r>
        <w:rPr>
          <w:rFonts w:hint="eastAsia"/>
          <w:color w:val="000000"/>
          <w:szCs w:val="21"/>
          <w:highlight w:val="none"/>
          <w:u w:val="single"/>
        </w:rPr>
        <w:t xml:space="preserve">                                  </w:t>
      </w:r>
    </w:p>
    <w:p>
      <w:pPr>
        <w:adjustRightInd w:val="0"/>
        <w:snapToGrid w:val="0"/>
        <w:spacing w:line="360" w:lineRule="auto"/>
        <w:ind w:firstLine="281" w:firstLineChars="128"/>
        <w:rPr>
          <w:color w:val="000000"/>
          <w:szCs w:val="21"/>
          <w:highlight w:val="none"/>
          <w:u w:val="single"/>
        </w:rPr>
      </w:pPr>
      <w:r>
        <w:rPr>
          <w:rFonts w:hint="eastAsia"/>
          <w:color w:val="000000"/>
          <w:szCs w:val="21"/>
          <w:highlight w:val="none"/>
        </w:rPr>
        <w:t>（5）公司类型：</w:t>
      </w:r>
      <w:r>
        <w:rPr>
          <w:rFonts w:hint="eastAsia"/>
          <w:color w:val="000000"/>
          <w:szCs w:val="21"/>
          <w:highlight w:val="none"/>
          <w:u w:val="single"/>
        </w:rPr>
        <w:t xml:space="preserve">                                    </w:t>
      </w:r>
    </w:p>
    <w:p>
      <w:pPr>
        <w:adjustRightInd w:val="0"/>
        <w:snapToGrid w:val="0"/>
        <w:spacing w:line="360" w:lineRule="auto"/>
        <w:ind w:firstLine="281" w:firstLineChars="128"/>
        <w:rPr>
          <w:color w:val="000000"/>
          <w:szCs w:val="21"/>
          <w:highlight w:val="none"/>
          <w:u w:val="single"/>
        </w:rPr>
      </w:pPr>
      <w:r>
        <w:rPr>
          <w:rFonts w:hint="eastAsia"/>
          <w:color w:val="000000"/>
          <w:szCs w:val="21"/>
          <w:highlight w:val="none"/>
        </w:rPr>
        <w:t>（6）注册资本：</w:t>
      </w:r>
      <w:r>
        <w:rPr>
          <w:rFonts w:hint="eastAsia"/>
          <w:color w:val="000000"/>
          <w:szCs w:val="21"/>
          <w:highlight w:val="none"/>
          <w:u w:val="single"/>
        </w:rPr>
        <w:t xml:space="preserve">                                    </w:t>
      </w:r>
    </w:p>
    <w:p>
      <w:pPr>
        <w:adjustRightInd w:val="0"/>
        <w:snapToGrid w:val="0"/>
        <w:spacing w:line="360" w:lineRule="auto"/>
        <w:ind w:firstLine="281" w:firstLineChars="128"/>
        <w:rPr>
          <w:color w:val="000000"/>
          <w:szCs w:val="21"/>
          <w:highlight w:val="none"/>
          <w:u w:val="single"/>
        </w:rPr>
      </w:pPr>
      <w:r>
        <w:rPr>
          <w:rFonts w:hint="eastAsia"/>
          <w:color w:val="000000"/>
          <w:szCs w:val="21"/>
          <w:highlight w:val="none"/>
        </w:rPr>
        <w:t>（7）主要负责人：</w:t>
      </w:r>
      <w:r>
        <w:rPr>
          <w:rFonts w:hint="eastAsia"/>
          <w:color w:val="000000"/>
          <w:szCs w:val="21"/>
          <w:highlight w:val="none"/>
          <w:u w:val="single"/>
        </w:rPr>
        <w:t xml:space="preserve">                                  </w:t>
      </w:r>
    </w:p>
    <w:p>
      <w:pPr>
        <w:adjustRightInd w:val="0"/>
        <w:snapToGrid w:val="0"/>
        <w:spacing w:line="360" w:lineRule="auto"/>
        <w:ind w:firstLine="281" w:firstLineChars="128"/>
        <w:rPr>
          <w:color w:val="000000"/>
          <w:szCs w:val="21"/>
          <w:highlight w:val="none"/>
          <w:u w:val="single"/>
        </w:rPr>
      </w:pPr>
      <w:r>
        <w:rPr>
          <w:rFonts w:hint="eastAsia"/>
          <w:color w:val="000000"/>
          <w:szCs w:val="21"/>
          <w:highlight w:val="none"/>
        </w:rPr>
        <w:t>（8）职员人数：</w:t>
      </w:r>
      <w:r>
        <w:rPr>
          <w:rFonts w:hint="eastAsia"/>
          <w:color w:val="000000"/>
          <w:szCs w:val="21"/>
          <w:highlight w:val="none"/>
          <w:u w:val="single"/>
        </w:rPr>
        <w:t xml:space="preserve">                                    </w:t>
      </w:r>
    </w:p>
    <w:p>
      <w:pPr>
        <w:adjustRightInd w:val="0"/>
        <w:snapToGrid w:val="0"/>
        <w:spacing w:line="360" w:lineRule="auto"/>
        <w:ind w:firstLine="281" w:firstLineChars="128"/>
        <w:rPr>
          <w:color w:val="000000"/>
          <w:szCs w:val="21"/>
          <w:highlight w:val="none"/>
          <w:u w:val="single"/>
        </w:rPr>
      </w:pPr>
      <w:r>
        <w:rPr>
          <w:rFonts w:hint="eastAsia"/>
          <w:color w:val="000000"/>
          <w:szCs w:val="21"/>
          <w:highlight w:val="none"/>
        </w:rPr>
        <w:t>（9）运力资源</w:t>
      </w:r>
      <w:r>
        <w:rPr>
          <w:rFonts w:hint="eastAsia"/>
          <w:color w:val="000000"/>
          <w:szCs w:val="21"/>
          <w:highlight w:val="none"/>
          <w:u w:val="single"/>
        </w:rPr>
        <w:t xml:space="preserve">                                      </w:t>
      </w:r>
    </w:p>
    <w:p>
      <w:pPr>
        <w:adjustRightInd w:val="0"/>
        <w:snapToGrid w:val="0"/>
        <w:spacing w:line="360" w:lineRule="auto"/>
        <w:ind w:firstLine="1"/>
        <w:rPr>
          <w:color w:val="000000"/>
          <w:szCs w:val="21"/>
          <w:highlight w:val="none"/>
          <w:u w:val="single"/>
        </w:rPr>
      </w:pPr>
      <w:r>
        <w:rPr>
          <w:rFonts w:hint="eastAsia"/>
          <w:color w:val="000000"/>
          <w:szCs w:val="21"/>
          <w:highlight w:val="none"/>
        </w:rPr>
        <w:t>A.固定资产原值：</w:t>
      </w:r>
      <w:r>
        <w:rPr>
          <w:rFonts w:hint="eastAsia"/>
          <w:color w:val="000000"/>
          <w:szCs w:val="21"/>
          <w:highlight w:val="none"/>
          <w:u w:val="single"/>
        </w:rPr>
        <w:t xml:space="preserve">             </w:t>
      </w:r>
      <w:r>
        <w:rPr>
          <w:rFonts w:hint="eastAsia"/>
          <w:color w:val="000000"/>
          <w:szCs w:val="21"/>
          <w:highlight w:val="none"/>
        </w:rPr>
        <w:t xml:space="preserve">    净值：</w:t>
      </w:r>
      <w:r>
        <w:rPr>
          <w:rFonts w:hint="eastAsia"/>
          <w:color w:val="000000"/>
          <w:szCs w:val="21"/>
          <w:highlight w:val="none"/>
          <w:u w:val="single"/>
        </w:rPr>
        <w:t xml:space="preserve">              </w:t>
      </w:r>
    </w:p>
    <w:p>
      <w:pPr>
        <w:adjustRightInd w:val="0"/>
        <w:snapToGrid w:val="0"/>
        <w:spacing w:line="360" w:lineRule="auto"/>
        <w:ind w:firstLine="1"/>
        <w:rPr>
          <w:color w:val="000000"/>
          <w:szCs w:val="21"/>
          <w:highlight w:val="none"/>
          <w:u w:val="single"/>
        </w:rPr>
      </w:pPr>
      <w:r>
        <w:rPr>
          <w:rFonts w:hint="eastAsia"/>
          <w:color w:val="000000"/>
          <w:szCs w:val="21"/>
          <w:highlight w:val="none"/>
        </w:rPr>
        <w:t>B.营运车辆原值：</w:t>
      </w:r>
      <w:r>
        <w:rPr>
          <w:rFonts w:hint="eastAsia"/>
          <w:color w:val="000000"/>
          <w:szCs w:val="21"/>
          <w:highlight w:val="none"/>
          <w:u w:val="single"/>
        </w:rPr>
        <w:t xml:space="preserve">             </w:t>
      </w:r>
      <w:r>
        <w:rPr>
          <w:rFonts w:hint="eastAsia"/>
          <w:color w:val="000000"/>
          <w:szCs w:val="21"/>
          <w:highlight w:val="none"/>
        </w:rPr>
        <w:t xml:space="preserve">    净值：</w:t>
      </w:r>
      <w:r>
        <w:rPr>
          <w:rFonts w:hint="eastAsia"/>
          <w:color w:val="000000"/>
          <w:szCs w:val="21"/>
          <w:highlight w:val="none"/>
          <w:u w:val="single"/>
        </w:rPr>
        <w:t xml:space="preserve">              </w:t>
      </w:r>
    </w:p>
    <w:p>
      <w:pPr>
        <w:adjustRightInd w:val="0"/>
        <w:snapToGrid w:val="0"/>
        <w:spacing w:line="360" w:lineRule="auto"/>
        <w:ind w:firstLine="1"/>
        <w:rPr>
          <w:color w:val="000000"/>
          <w:szCs w:val="21"/>
          <w:highlight w:val="none"/>
          <w:u w:val="single"/>
        </w:rPr>
      </w:pPr>
      <w:r>
        <w:rPr>
          <w:rFonts w:hint="eastAsia"/>
          <w:color w:val="000000"/>
          <w:szCs w:val="21"/>
          <w:highlight w:val="none"/>
        </w:rPr>
        <w:t>C.自有车辆数量（辆）：</w:t>
      </w:r>
      <w:r>
        <w:rPr>
          <w:rFonts w:hint="eastAsia"/>
          <w:color w:val="000000"/>
          <w:szCs w:val="21"/>
          <w:highlight w:val="none"/>
          <w:u w:val="single"/>
        </w:rPr>
        <w:t xml:space="preserve">        </w:t>
      </w:r>
      <w:r>
        <w:rPr>
          <w:rFonts w:hint="eastAsia"/>
          <w:color w:val="000000"/>
          <w:szCs w:val="21"/>
          <w:highlight w:val="none"/>
        </w:rPr>
        <w:t xml:space="preserve">   总吨位：</w:t>
      </w:r>
      <w:r>
        <w:rPr>
          <w:rFonts w:hint="eastAsia"/>
          <w:color w:val="000000"/>
          <w:szCs w:val="21"/>
          <w:highlight w:val="none"/>
          <w:u w:val="single"/>
        </w:rPr>
        <w:t xml:space="preserve">            </w:t>
      </w:r>
    </w:p>
    <w:p>
      <w:pPr>
        <w:adjustRightInd w:val="0"/>
        <w:snapToGrid w:val="0"/>
        <w:spacing w:line="360" w:lineRule="auto"/>
        <w:ind w:firstLine="1"/>
        <w:rPr>
          <w:color w:val="000000"/>
          <w:szCs w:val="21"/>
          <w:highlight w:val="none"/>
          <w:u w:val="single"/>
        </w:rPr>
      </w:pPr>
      <w:r>
        <w:rPr>
          <w:rFonts w:hint="eastAsia"/>
          <w:color w:val="000000"/>
          <w:szCs w:val="21"/>
          <w:highlight w:val="none"/>
        </w:rPr>
        <w:t>D.社会车辆数量（辆）：</w:t>
      </w:r>
      <w:r>
        <w:rPr>
          <w:rFonts w:hint="eastAsia"/>
          <w:color w:val="000000"/>
          <w:szCs w:val="21"/>
          <w:highlight w:val="none"/>
          <w:u w:val="single"/>
        </w:rPr>
        <w:t xml:space="preserve">        </w:t>
      </w:r>
      <w:r>
        <w:rPr>
          <w:rFonts w:hint="eastAsia"/>
          <w:color w:val="000000"/>
          <w:szCs w:val="21"/>
          <w:highlight w:val="none"/>
        </w:rPr>
        <w:t xml:space="preserve">   总吨位：</w:t>
      </w:r>
      <w:r>
        <w:rPr>
          <w:rFonts w:hint="eastAsia"/>
          <w:color w:val="000000"/>
          <w:szCs w:val="21"/>
          <w:highlight w:val="none"/>
          <w:u w:val="single"/>
        </w:rPr>
        <w:t xml:space="preserve">            </w:t>
      </w:r>
    </w:p>
    <w:p>
      <w:pPr>
        <w:adjustRightInd w:val="0"/>
        <w:snapToGrid w:val="0"/>
        <w:spacing w:line="360" w:lineRule="auto"/>
        <w:ind w:firstLine="1"/>
        <w:rPr>
          <w:color w:val="000000"/>
          <w:szCs w:val="21"/>
          <w:highlight w:val="none"/>
          <w:u w:val="single"/>
        </w:rPr>
      </w:pPr>
      <w:r>
        <w:rPr>
          <w:rFonts w:hint="eastAsia"/>
          <w:color w:val="000000"/>
          <w:szCs w:val="21"/>
          <w:highlight w:val="none"/>
        </w:rPr>
        <w:t>E.是否使用物流信息系统：</w:t>
      </w:r>
      <w:r>
        <w:rPr>
          <w:rFonts w:hint="eastAsia"/>
          <w:color w:val="000000"/>
          <w:szCs w:val="21"/>
          <w:highlight w:val="none"/>
          <w:u w:val="single"/>
        </w:rPr>
        <w:t xml:space="preserve">  </w:t>
      </w:r>
      <w:r>
        <w:rPr>
          <w:rFonts w:hint="eastAsia"/>
          <w:color w:val="000000"/>
          <w:szCs w:val="21"/>
          <w:highlight w:val="none"/>
          <w:u w:val="single"/>
          <w:lang w:val="en-US"/>
        </w:rPr>
        <w:t xml:space="preserve">  </w:t>
      </w:r>
      <w:r>
        <w:rPr>
          <w:rFonts w:hint="eastAsia"/>
          <w:color w:val="000000"/>
          <w:szCs w:val="21"/>
          <w:highlight w:val="none"/>
          <w:u w:val="single"/>
        </w:rPr>
        <w:t xml:space="preserve">   </w:t>
      </w:r>
      <w:r>
        <w:rPr>
          <w:rFonts w:hint="eastAsia"/>
          <w:color w:val="000000"/>
          <w:szCs w:val="21"/>
          <w:highlight w:val="none"/>
        </w:rPr>
        <w:t xml:space="preserve">  系统名称: </w:t>
      </w:r>
      <w:r>
        <w:rPr>
          <w:rFonts w:hint="eastAsia"/>
          <w:color w:val="000000"/>
          <w:szCs w:val="21"/>
          <w:highlight w:val="none"/>
          <w:u w:val="single"/>
        </w:rPr>
        <w:t xml:space="preserve">          </w:t>
      </w:r>
    </w:p>
    <w:p>
      <w:pPr>
        <w:adjustRightInd w:val="0"/>
        <w:snapToGrid w:val="0"/>
        <w:spacing w:line="360" w:lineRule="auto"/>
        <w:rPr>
          <w:color w:val="000000"/>
          <w:szCs w:val="21"/>
          <w:highlight w:val="none"/>
          <w:u w:val="single"/>
        </w:rPr>
      </w:pPr>
      <w:r>
        <w:rPr>
          <w:rFonts w:hint="eastAsia"/>
          <w:b/>
          <w:color w:val="000000"/>
          <w:szCs w:val="21"/>
          <w:highlight w:val="none"/>
        </w:rPr>
        <w:t>2、其他需说明的情况</w:t>
      </w:r>
      <w:r>
        <w:rPr>
          <w:rFonts w:hint="eastAsia"/>
          <w:color w:val="000000"/>
          <w:szCs w:val="21"/>
          <w:highlight w:val="none"/>
        </w:rPr>
        <w:t>：</w:t>
      </w:r>
      <w:r>
        <w:rPr>
          <w:rFonts w:hint="eastAsia"/>
          <w:color w:val="000000"/>
          <w:szCs w:val="21"/>
          <w:highlight w:val="none"/>
          <w:u w:val="single"/>
        </w:rPr>
        <w:t xml:space="preserve">                                </w:t>
      </w:r>
    </w:p>
    <w:p>
      <w:pPr>
        <w:adjustRightInd w:val="0"/>
        <w:snapToGrid w:val="0"/>
        <w:spacing w:line="360" w:lineRule="auto"/>
        <w:rPr>
          <w:b/>
          <w:bCs/>
          <w:color w:val="000000"/>
          <w:szCs w:val="21"/>
          <w:highlight w:val="none"/>
          <w:u w:val="single"/>
        </w:rPr>
      </w:pPr>
    </w:p>
    <w:p>
      <w:pPr>
        <w:adjustRightInd w:val="0"/>
        <w:snapToGrid w:val="0"/>
        <w:spacing w:line="360" w:lineRule="auto"/>
        <w:rPr>
          <w:sz w:val="24"/>
          <w:szCs w:val="24"/>
          <w:highlight w:val="none"/>
          <w:lang w:val="en-US"/>
        </w:rPr>
      </w:pPr>
      <w:r>
        <w:rPr>
          <w:rFonts w:hint="eastAsia"/>
          <w:b/>
          <w:bCs/>
          <w:color w:val="000000"/>
          <w:sz w:val="24"/>
          <w:highlight w:val="none"/>
          <w:lang w:val="en-US"/>
        </w:rPr>
        <w:t>*注：投标人应附车辆照片。</w:t>
      </w:r>
    </w:p>
    <w:p>
      <w:pPr>
        <w:adjustRightInd w:val="0"/>
        <w:snapToGrid w:val="0"/>
        <w:spacing w:line="480" w:lineRule="auto"/>
        <w:rPr>
          <w:sz w:val="21"/>
          <w:szCs w:val="21"/>
          <w:highlight w:val="none"/>
        </w:rPr>
      </w:pPr>
      <w:r>
        <w:rPr>
          <w:rFonts w:hint="eastAsia"/>
          <w:color w:val="000000"/>
          <w:sz w:val="22"/>
          <w:szCs w:val="22"/>
          <w:highlight w:val="none"/>
          <w:lang w:val="en-US"/>
        </w:rPr>
        <w:t>致：贵州交投商贸物流有限公司</w:t>
      </w:r>
    </w:p>
    <w:p>
      <w:pPr>
        <w:adjustRightInd w:val="0"/>
        <w:snapToGrid w:val="0"/>
        <w:spacing w:line="480" w:lineRule="auto"/>
        <w:ind w:firstLine="880" w:firstLineChars="400"/>
        <w:rPr>
          <w:color w:val="000000"/>
          <w:sz w:val="22"/>
          <w:szCs w:val="22"/>
          <w:highlight w:val="none"/>
          <w:lang w:val="en-US"/>
        </w:rPr>
      </w:pPr>
      <w:r>
        <w:rPr>
          <w:rFonts w:hint="eastAsia"/>
          <w:color w:val="000000"/>
          <w:sz w:val="22"/>
          <w:szCs w:val="22"/>
          <w:highlight w:val="none"/>
          <w:lang w:val="en-US"/>
        </w:rPr>
        <w:t>我方（</w:t>
      </w:r>
      <w:r>
        <w:rPr>
          <w:rFonts w:hint="eastAsia"/>
          <w:color w:val="000000"/>
          <w:sz w:val="22"/>
          <w:szCs w:val="22"/>
          <w:highlight w:val="none"/>
          <w:u w:val="single"/>
          <w:lang w:val="en-US"/>
        </w:rPr>
        <w:t>投标人名称</w:t>
      </w:r>
      <w:r>
        <w:rPr>
          <w:rFonts w:hint="eastAsia"/>
          <w:color w:val="000000"/>
          <w:sz w:val="22"/>
          <w:szCs w:val="22"/>
          <w:highlight w:val="none"/>
          <w:lang w:val="en-US"/>
        </w:rPr>
        <w:t>）保证上述声明是真实的、准确的，并提供了全部能提供资料和数量。如招标人需要，我方愿意出示进一步的证明文件。</w:t>
      </w:r>
    </w:p>
    <w:p>
      <w:pPr>
        <w:adjustRightInd w:val="0"/>
        <w:snapToGrid w:val="0"/>
        <w:spacing w:line="360" w:lineRule="auto"/>
        <w:ind w:firstLine="570"/>
        <w:rPr>
          <w:color w:val="000000"/>
          <w:szCs w:val="21"/>
          <w:highlight w:val="none"/>
        </w:rPr>
      </w:pPr>
    </w:p>
    <w:p>
      <w:pPr>
        <w:adjustRightInd w:val="0"/>
        <w:snapToGrid w:val="0"/>
        <w:spacing w:line="360" w:lineRule="auto"/>
        <w:ind w:firstLine="2880"/>
        <w:jc w:val="center"/>
        <w:rPr>
          <w:color w:val="000000"/>
          <w:szCs w:val="21"/>
          <w:highlight w:val="none"/>
          <w:lang w:val="en-US"/>
        </w:rPr>
      </w:pPr>
      <w:r>
        <w:rPr>
          <w:rFonts w:hint="eastAsia"/>
          <w:color w:val="000000"/>
          <w:szCs w:val="21"/>
          <w:highlight w:val="none"/>
          <w:lang w:val="en-US"/>
        </w:rPr>
        <w:t xml:space="preserve">     </w:t>
      </w:r>
    </w:p>
    <w:p>
      <w:pPr>
        <w:adjustRightInd w:val="0"/>
        <w:snapToGrid w:val="0"/>
        <w:spacing w:line="360" w:lineRule="auto"/>
        <w:ind w:firstLine="2880"/>
        <w:jc w:val="center"/>
        <w:rPr>
          <w:color w:val="000000"/>
          <w:szCs w:val="21"/>
          <w:highlight w:val="none"/>
          <w:lang w:val="en-US"/>
        </w:rPr>
      </w:pPr>
    </w:p>
    <w:p>
      <w:pPr>
        <w:adjustRightInd w:val="0"/>
        <w:snapToGrid w:val="0"/>
        <w:spacing w:line="360" w:lineRule="auto"/>
        <w:ind w:firstLine="2880"/>
        <w:jc w:val="center"/>
        <w:rPr>
          <w:color w:val="000000"/>
          <w:szCs w:val="21"/>
          <w:highlight w:val="none"/>
          <w:lang w:val="en-US"/>
        </w:rPr>
      </w:pPr>
    </w:p>
    <w:p>
      <w:pPr>
        <w:adjustRightInd w:val="0"/>
        <w:snapToGrid w:val="0"/>
        <w:spacing w:line="360" w:lineRule="auto"/>
        <w:ind w:firstLine="2880"/>
        <w:jc w:val="center"/>
        <w:rPr>
          <w:color w:val="000000"/>
          <w:szCs w:val="21"/>
          <w:highlight w:val="none"/>
        </w:rPr>
      </w:pPr>
      <w:r>
        <w:rPr>
          <w:rFonts w:hint="eastAsia"/>
          <w:color w:val="000000"/>
          <w:szCs w:val="21"/>
          <w:highlight w:val="none"/>
          <w:lang w:val="en-US"/>
        </w:rPr>
        <w:t xml:space="preserve">              投标人</w:t>
      </w:r>
      <w:r>
        <w:rPr>
          <w:rFonts w:hint="eastAsia"/>
          <w:color w:val="000000"/>
          <w:szCs w:val="21"/>
          <w:highlight w:val="none"/>
        </w:rPr>
        <w:t>名称（盖章）：</w:t>
      </w:r>
    </w:p>
    <w:p>
      <w:pPr>
        <w:adjustRightInd w:val="0"/>
        <w:snapToGrid w:val="0"/>
        <w:spacing w:line="360" w:lineRule="auto"/>
        <w:ind w:firstLine="2880"/>
        <w:jc w:val="center"/>
        <w:rPr>
          <w:color w:val="000000"/>
          <w:szCs w:val="21"/>
          <w:highlight w:val="none"/>
        </w:rPr>
      </w:pPr>
      <w:r>
        <w:rPr>
          <w:rFonts w:hint="eastAsia"/>
          <w:color w:val="000000"/>
          <w:szCs w:val="21"/>
          <w:highlight w:val="none"/>
          <w:lang w:val="en-US"/>
        </w:rPr>
        <w:t xml:space="preserve">                      </w:t>
      </w:r>
      <w:r>
        <w:rPr>
          <w:rFonts w:hint="eastAsia"/>
          <w:color w:val="000000"/>
          <w:szCs w:val="21"/>
          <w:highlight w:val="none"/>
        </w:rPr>
        <w:t>法定代表人或委托代理人签字：</w:t>
      </w:r>
    </w:p>
    <w:p>
      <w:pPr>
        <w:adjustRightInd w:val="0"/>
        <w:snapToGrid w:val="0"/>
        <w:spacing w:line="360" w:lineRule="auto"/>
        <w:ind w:firstLine="2880"/>
        <w:jc w:val="center"/>
        <w:rPr>
          <w:color w:val="000000"/>
          <w:szCs w:val="21"/>
          <w:highlight w:val="none"/>
        </w:rPr>
      </w:pPr>
      <w:r>
        <w:rPr>
          <w:rFonts w:hint="eastAsia"/>
          <w:color w:val="000000"/>
          <w:szCs w:val="21"/>
          <w:highlight w:val="none"/>
        </w:rPr>
        <w:t>日期：</w:t>
      </w:r>
    </w:p>
    <w:p>
      <w:pPr>
        <w:pStyle w:val="5"/>
        <w:spacing w:before="62"/>
        <w:ind w:left="537" w:firstLine="0"/>
        <w:rPr>
          <w:highlight w:val="none"/>
        </w:rPr>
      </w:pPr>
      <w:bookmarkStart w:id="237" w:name="_bookmark156"/>
      <w:bookmarkEnd w:id="237"/>
      <w:bookmarkStart w:id="238" w:name="_Toc12367"/>
      <w:r>
        <w:rPr>
          <w:rFonts w:hint="eastAsia"/>
          <w:highlight w:val="none"/>
        </w:rPr>
        <w:t>（</w:t>
      </w:r>
      <w:r>
        <w:rPr>
          <w:highlight w:val="none"/>
        </w:rPr>
        <w:t>二）</w:t>
      </w:r>
      <w:r>
        <w:rPr>
          <w:rFonts w:hint="eastAsia"/>
          <w:highlight w:val="none"/>
          <w:lang w:val="en-US"/>
        </w:rPr>
        <w:t>2</w:t>
      </w:r>
      <w:r>
        <w:rPr>
          <w:rFonts w:hint="eastAsia"/>
          <w:highlight w:val="none"/>
          <w:lang w:val="en-US" w:eastAsia="zh-CN"/>
        </w:rPr>
        <w:t>020</w:t>
      </w:r>
      <w:r>
        <w:rPr>
          <w:rFonts w:hint="eastAsia"/>
          <w:highlight w:val="none"/>
          <w:lang w:val="en-US"/>
        </w:rPr>
        <w:t>年</w:t>
      </w:r>
      <w:r>
        <w:rPr>
          <w:highlight w:val="none"/>
        </w:rPr>
        <w:t>财务状况表</w:t>
      </w:r>
      <w:bookmarkEnd w:id="238"/>
    </w:p>
    <w:p>
      <w:pPr>
        <w:pStyle w:val="21"/>
        <w:numPr>
          <w:ilvl w:val="0"/>
          <w:numId w:val="23"/>
        </w:numPr>
        <w:ind w:firstLine="0" w:firstLineChars="0"/>
        <w:rPr>
          <w:rFonts w:hint="eastAsia"/>
          <w:highlight w:val="none"/>
          <w:lang w:val="en-US"/>
        </w:rPr>
      </w:pPr>
      <w:r>
        <w:rPr>
          <w:rFonts w:hint="eastAsia"/>
          <w:highlight w:val="none"/>
          <w:lang w:val="en-US"/>
        </w:rPr>
        <w:t>本表后应附：</w:t>
      </w:r>
      <w:r>
        <w:rPr>
          <w:rFonts w:hint="eastAsia"/>
          <w:highlight w:val="none"/>
          <w:lang w:val="en-US" w:eastAsia="zh-CN"/>
        </w:rPr>
        <w:t>2020年度</w:t>
      </w:r>
      <w:r>
        <w:rPr>
          <w:rFonts w:hint="eastAsia"/>
          <w:highlight w:val="none"/>
          <w:lang w:val="en-US"/>
        </w:rPr>
        <w:t>财务报表</w:t>
      </w:r>
    </w:p>
    <w:p>
      <w:pPr>
        <w:pStyle w:val="21"/>
        <w:numPr>
          <w:ilvl w:val="0"/>
          <w:numId w:val="23"/>
        </w:numPr>
        <w:ind w:firstLine="0" w:firstLineChars="0"/>
        <w:rPr>
          <w:highlight w:val="none"/>
        </w:rPr>
      </w:pPr>
      <w:r>
        <w:rPr>
          <w:rFonts w:hint="eastAsia"/>
          <w:highlight w:val="none"/>
          <w:lang w:val="en-US"/>
        </w:rPr>
        <w:t>本表所列数据必须与本表各附件中的数据相一致。</w:t>
      </w:r>
    </w:p>
    <w:tbl>
      <w:tblPr>
        <w:tblStyle w:val="22"/>
        <w:tblpPr w:leftFromText="180" w:rightFromText="180" w:vertAnchor="text" w:horzAnchor="page" w:tblpX="1394" w:tblpY="382"/>
        <w:tblOverlap w:val="never"/>
        <w:tblW w:w="9354" w:type="dxa"/>
        <w:tblInd w:w="0"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3708"/>
        <w:gridCol w:w="1702"/>
        <w:gridCol w:w="3944"/>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26" w:hRule="atLeast"/>
        </w:trPr>
        <w:tc>
          <w:tcPr>
            <w:tcW w:w="3708" w:type="dxa"/>
            <w:tcBorders>
              <w:bottom w:val="single" w:color="000000" w:sz="4" w:space="0"/>
              <w:right w:val="single" w:color="000000" w:sz="4" w:space="0"/>
            </w:tcBorders>
          </w:tcPr>
          <w:p>
            <w:pPr>
              <w:pStyle w:val="29"/>
              <w:spacing w:line="472" w:lineRule="exact"/>
              <w:ind w:left="1224" w:right="1224"/>
              <w:jc w:val="center"/>
              <w:rPr>
                <w:sz w:val="24"/>
                <w:highlight w:val="none"/>
              </w:rPr>
            </w:pPr>
            <w:r>
              <w:rPr>
                <w:rFonts w:hint="eastAsia"/>
                <w:sz w:val="24"/>
                <w:highlight w:val="none"/>
              </w:rPr>
              <w:t>项目或指标</w:t>
            </w:r>
          </w:p>
        </w:tc>
        <w:tc>
          <w:tcPr>
            <w:tcW w:w="1702" w:type="dxa"/>
            <w:tcBorders>
              <w:left w:val="single" w:color="000000" w:sz="4" w:space="0"/>
              <w:bottom w:val="single" w:color="000000" w:sz="4" w:space="0"/>
              <w:right w:val="single" w:color="000000" w:sz="4" w:space="0"/>
            </w:tcBorders>
          </w:tcPr>
          <w:p>
            <w:pPr>
              <w:pStyle w:val="29"/>
              <w:spacing w:line="472" w:lineRule="exact"/>
              <w:ind w:left="589" w:right="582"/>
              <w:jc w:val="center"/>
              <w:rPr>
                <w:sz w:val="24"/>
                <w:highlight w:val="none"/>
              </w:rPr>
            </w:pPr>
            <w:r>
              <w:rPr>
                <w:rFonts w:hint="eastAsia"/>
                <w:sz w:val="24"/>
                <w:highlight w:val="none"/>
              </w:rPr>
              <w:t>单位</w:t>
            </w:r>
          </w:p>
        </w:tc>
        <w:tc>
          <w:tcPr>
            <w:tcW w:w="3944" w:type="dxa"/>
            <w:tcBorders>
              <w:left w:val="single" w:color="000000" w:sz="4" w:space="0"/>
              <w:bottom w:val="single" w:color="000000" w:sz="4" w:space="0"/>
            </w:tcBorders>
          </w:tcPr>
          <w:p>
            <w:pPr>
              <w:pStyle w:val="29"/>
              <w:spacing w:line="472" w:lineRule="exact"/>
              <w:ind w:left="1566" w:right="1545"/>
              <w:jc w:val="center"/>
              <w:rPr>
                <w:sz w:val="24"/>
                <w:highlight w:val="none"/>
              </w:rPr>
            </w:pPr>
            <w:r>
              <w:rPr>
                <w:rFonts w:hint="eastAsia"/>
                <w:sz w:val="24"/>
                <w:highlight w:val="none"/>
              </w:rPr>
              <w:t>20</w:t>
            </w:r>
            <w:r>
              <w:rPr>
                <w:rFonts w:hint="eastAsia"/>
                <w:sz w:val="24"/>
                <w:highlight w:val="none"/>
                <w:lang w:val="en-US" w:eastAsia="zh-CN"/>
              </w:rPr>
              <w:t>20</w:t>
            </w:r>
            <w:r>
              <w:rPr>
                <w:rFonts w:hint="eastAsia"/>
                <w:sz w:val="24"/>
                <w:highlight w:val="none"/>
              </w:rPr>
              <w:t>年</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27" w:hRule="atLeast"/>
        </w:trPr>
        <w:tc>
          <w:tcPr>
            <w:tcW w:w="3708" w:type="dxa"/>
            <w:tcBorders>
              <w:top w:val="single" w:color="000000" w:sz="4" w:space="0"/>
              <w:bottom w:val="single" w:color="000000" w:sz="4" w:space="0"/>
              <w:right w:val="single" w:color="000000" w:sz="4" w:space="0"/>
            </w:tcBorders>
            <w:vAlign w:val="center"/>
          </w:tcPr>
          <w:p>
            <w:pPr>
              <w:pStyle w:val="29"/>
              <w:spacing w:before="31"/>
              <w:ind w:left="97"/>
              <w:jc w:val="center"/>
              <w:rPr>
                <w:szCs w:val="28"/>
                <w:highlight w:val="none"/>
              </w:rPr>
            </w:pPr>
            <w:r>
              <w:rPr>
                <w:rFonts w:hint="eastAsia"/>
                <w:szCs w:val="28"/>
                <w:highlight w:val="none"/>
              </w:rPr>
              <w:t>一、注册资金</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29"/>
              <w:spacing w:before="31"/>
              <w:ind w:left="368" w:right="361"/>
              <w:jc w:val="center"/>
              <w:rPr>
                <w:szCs w:val="28"/>
                <w:highlight w:val="none"/>
              </w:rPr>
            </w:pPr>
            <w:r>
              <w:rPr>
                <w:rFonts w:hint="eastAsia"/>
                <w:szCs w:val="28"/>
                <w:highlight w:val="none"/>
              </w:rPr>
              <w:t>万元</w:t>
            </w:r>
          </w:p>
        </w:tc>
        <w:tc>
          <w:tcPr>
            <w:tcW w:w="3944" w:type="dxa"/>
            <w:tcBorders>
              <w:top w:val="single" w:color="000000" w:sz="4" w:space="0"/>
              <w:left w:val="single" w:color="000000" w:sz="4" w:space="0"/>
              <w:bottom w:val="single" w:color="000000" w:sz="4" w:space="0"/>
            </w:tcBorders>
            <w:vAlign w:val="center"/>
          </w:tcPr>
          <w:p>
            <w:pPr>
              <w:pStyle w:val="29"/>
              <w:jc w:val="center"/>
              <w:rPr>
                <w:szCs w:val="28"/>
                <w:highlight w:val="none"/>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26" w:hRule="atLeast"/>
        </w:trPr>
        <w:tc>
          <w:tcPr>
            <w:tcW w:w="3708" w:type="dxa"/>
            <w:tcBorders>
              <w:top w:val="single" w:color="000000" w:sz="4" w:space="0"/>
              <w:bottom w:val="single" w:color="000000" w:sz="4" w:space="0"/>
              <w:right w:val="single" w:color="000000" w:sz="4" w:space="0"/>
            </w:tcBorders>
            <w:vAlign w:val="center"/>
          </w:tcPr>
          <w:p>
            <w:pPr>
              <w:pStyle w:val="29"/>
              <w:spacing w:before="28"/>
              <w:ind w:left="97"/>
              <w:jc w:val="center"/>
              <w:rPr>
                <w:szCs w:val="28"/>
                <w:highlight w:val="none"/>
              </w:rPr>
            </w:pPr>
            <w:r>
              <w:rPr>
                <w:rFonts w:hint="eastAsia"/>
                <w:szCs w:val="28"/>
                <w:highlight w:val="none"/>
              </w:rPr>
              <w:t>二、净资产</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29"/>
              <w:spacing w:before="28"/>
              <w:ind w:left="368" w:right="361"/>
              <w:jc w:val="center"/>
              <w:rPr>
                <w:szCs w:val="28"/>
                <w:highlight w:val="none"/>
              </w:rPr>
            </w:pPr>
            <w:r>
              <w:rPr>
                <w:rFonts w:hint="eastAsia"/>
                <w:szCs w:val="28"/>
                <w:highlight w:val="none"/>
              </w:rPr>
              <w:t>万元</w:t>
            </w:r>
          </w:p>
        </w:tc>
        <w:tc>
          <w:tcPr>
            <w:tcW w:w="3944" w:type="dxa"/>
            <w:tcBorders>
              <w:top w:val="single" w:color="000000" w:sz="4" w:space="0"/>
              <w:left w:val="single" w:color="000000" w:sz="4" w:space="0"/>
              <w:bottom w:val="single" w:color="000000" w:sz="4" w:space="0"/>
            </w:tcBorders>
            <w:vAlign w:val="center"/>
          </w:tcPr>
          <w:p>
            <w:pPr>
              <w:pStyle w:val="29"/>
              <w:jc w:val="center"/>
              <w:rPr>
                <w:szCs w:val="28"/>
                <w:highlight w:val="none"/>
                <w:lang w:val="en-US"/>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27" w:hRule="atLeast"/>
        </w:trPr>
        <w:tc>
          <w:tcPr>
            <w:tcW w:w="3708" w:type="dxa"/>
            <w:tcBorders>
              <w:top w:val="single" w:color="000000" w:sz="4" w:space="0"/>
              <w:bottom w:val="single" w:color="000000" w:sz="4" w:space="0"/>
              <w:right w:val="single" w:color="000000" w:sz="4" w:space="0"/>
            </w:tcBorders>
            <w:vAlign w:val="center"/>
          </w:tcPr>
          <w:p>
            <w:pPr>
              <w:pStyle w:val="29"/>
              <w:spacing w:before="28"/>
              <w:ind w:left="97"/>
              <w:jc w:val="center"/>
              <w:rPr>
                <w:szCs w:val="28"/>
                <w:highlight w:val="none"/>
              </w:rPr>
            </w:pPr>
            <w:r>
              <w:rPr>
                <w:rFonts w:hint="eastAsia"/>
                <w:szCs w:val="28"/>
                <w:highlight w:val="none"/>
              </w:rPr>
              <w:t>三、总资产</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29"/>
              <w:spacing w:before="28"/>
              <w:ind w:left="368" w:right="361"/>
              <w:jc w:val="center"/>
              <w:rPr>
                <w:szCs w:val="28"/>
                <w:highlight w:val="none"/>
              </w:rPr>
            </w:pPr>
            <w:r>
              <w:rPr>
                <w:rFonts w:hint="eastAsia"/>
                <w:szCs w:val="28"/>
                <w:highlight w:val="none"/>
              </w:rPr>
              <w:t>万元</w:t>
            </w:r>
          </w:p>
        </w:tc>
        <w:tc>
          <w:tcPr>
            <w:tcW w:w="3944" w:type="dxa"/>
            <w:tcBorders>
              <w:top w:val="single" w:color="000000" w:sz="4" w:space="0"/>
              <w:left w:val="single" w:color="000000" w:sz="4" w:space="0"/>
              <w:bottom w:val="single" w:color="000000" w:sz="4" w:space="0"/>
            </w:tcBorders>
            <w:vAlign w:val="center"/>
          </w:tcPr>
          <w:p>
            <w:pPr>
              <w:pStyle w:val="29"/>
              <w:ind w:firstLine="1100" w:firstLineChars="500"/>
              <w:jc w:val="both"/>
              <w:rPr>
                <w:szCs w:val="28"/>
                <w:highlight w:val="none"/>
                <w:lang w:val="en-US"/>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26" w:hRule="atLeast"/>
        </w:trPr>
        <w:tc>
          <w:tcPr>
            <w:tcW w:w="3708" w:type="dxa"/>
            <w:tcBorders>
              <w:top w:val="single" w:color="000000" w:sz="4" w:space="0"/>
              <w:bottom w:val="single" w:color="000000" w:sz="4" w:space="0"/>
              <w:right w:val="single" w:color="000000" w:sz="4" w:space="0"/>
            </w:tcBorders>
            <w:vAlign w:val="center"/>
          </w:tcPr>
          <w:p>
            <w:pPr>
              <w:pStyle w:val="29"/>
              <w:spacing w:before="31"/>
              <w:ind w:left="97"/>
              <w:jc w:val="center"/>
              <w:rPr>
                <w:szCs w:val="28"/>
                <w:highlight w:val="none"/>
              </w:rPr>
            </w:pPr>
            <w:r>
              <w:rPr>
                <w:rFonts w:hint="eastAsia"/>
                <w:szCs w:val="28"/>
                <w:highlight w:val="none"/>
              </w:rPr>
              <w:t>四、固定资产</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29"/>
              <w:spacing w:before="31"/>
              <w:ind w:left="368" w:right="361"/>
              <w:jc w:val="center"/>
              <w:rPr>
                <w:szCs w:val="28"/>
                <w:highlight w:val="none"/>
              </w:rPr>
            </w:pPr>
            <w:r>
              <w:rPr>
                <w:rFonts w:hint="eastAsia"/>
                <w:szCs w:val="28"/>
                <w:highlight w:val="none"/>
              </w:rPr>
              <w:t>万元</w:t>
            </w:r>
          </w:p>
        </w:tc>
        <w:tc>
          <w:tcPr>
            <w:tcW w:w="3944" w:type="dxa"/>
            <w:tcBorders>
              <w:top w:val="single" w:color="000000" w:sz="4" w:space="0"/>
              <w:left w:val="single" w:color="000000" w:sz="4" w:space="0"/>
              <w:bottom w:val="single" w:color="000000" w:sz="4" w:space="0"/>
            </w:tcBorders>
            <w:vAlign w:val="center"/>
          </w:tcPr>
          <w:p>
            <w:pPr>
              <w:pStyle w:val="29"/>
              <w:jc w:val="center"/>
              <w:rPr>
                <w:szCs w:val="28"/>
                <w:highlight w:val="none"/>
                <w:lang w:val="en-US"/>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26" w:hRule="atLeast"/>
        </w:trPr>
        <w:tc>
          <w:tcPr>
            <w:tcW w:w="3708" w:type="dxa"/>
            <w:tcBorders>
              <w:top w:val="single" w:color="000000" w:sz="4" w:space="0"/>
              <w:bottom w:val="single" w:color="000000" w:sz="4" w:space="0"/>
              <w:right w:val="single" w:color="000000" w:sz="4" w:space="0"/>
            </w:tcBorders>
            <w:vAlign w:val="center"/>
          </w:tcPr>
          <w:p>
            <w:pPr>
              <w:pStyle w:val="29"/>
              <w:spacing w:before="31"/>
              <w:ind w:left="97"/>
              <w:jc w:val="center"/>
              <w:rPr>
                <w:szCs w:val="28"/>
                <w:highlight w:val="none"/>
              </w:rPr>
            </w:pPr>
            <w:r>
              <w:rPr>
                <w:rFonts w:hint="eastAsia"/>
                <w:szCs w:val="28"/>
                <w:highlight w:val="none"/>
              </w:rPr>
              <w:t>五、流动资产</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29"/>
              <w:spacing w:before="31"/>
              <w:ind w:left="368" w:right="361"/>
              <w:jc w:val="center"/>
              <w:rPr>
                <w:szCs w:val="28"/>
                <w:highlight w:val="none"/>
              </w:rPr>
            </w:pPr>
            <w:r>
              <w:rPr>
                <w:rFonts w:hint="eastAsia"/>
                <w:szCs w:val="28"/>
                <w:highlight w:val="none"/>
              </w:rPr>
              <w:t>万元</w:t>
            </w:r>
          </w:p>
        </w:tc>
        <w:tc>
          <w:tcPr>
            <w:tcW w:w="3944" w:type="dxa"/>
            <w:tcBorders>
              <w:top w:val="single" w:color="000000" w:sz="4" w:space="0"/>
              <w:left w:val="single" w:color="000000" w:sz="4" w:space="0"/>
              <w:bottom w:val="single" w:color="000000" w:sz="4" w:space="0"/>
            </w:tcBorders>
            <w:vAlign w:val="center"/>
          </w:tcPr>
          <w:p>
            <w:pPr>
              <w:pStyle w:val="29"/>
              <w:jc w:val="center"/>
              <w:rPr>
                <w:szCs w:val="28"/>
                <w:highlight w:val="none"/>
                <w:lang w:val="en-US"/>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27" w:hRule="atLeast"/>
        </w:trPr>
        <w:tc>
          <w:tcPr>
            <w:tcW w:w="3708" w:type="dxa"/>
            <w:tcBorders>
              <w:top w:val="single" w:color="000000" w:sz="4" w:space="0"/>
              <w:bottom w:val="single" w:color="000000" w:sz="4" w:space="0"/>
              <w:right w:val="single" w:color="000000" w:sz="4" w:space="0"/>
            </w:tcBorders>
            <w:vAlign w:val="center"/>
          </w:tcPr>
          <w:p>
            <w:pPr>
              <w:pStyle w:val="29"/>
              <w:spacing w:before="31"/>
              <w:ind w:left="97"/>
              <w:jc w:val="center"/>
              <w:rPr>
                <w:szCs w:val="28"/>
                <w:highlight w:val="none"/>
              </w:rPr>
            </w:pPr>
            <w:r>
              <w:rPr>
                <w:rFonts w:hint="eastAsia"/>
                <w:szCs w:val="28"/>
                <w:highlight w:val="none"/>
              </w:rPr>
              <w:t>六、流动负债</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29"/>
              <w:spacing w:before="31"/>
              <w:ind w:left="368" w:right="361"/>
              <w:jc w:val="center"/>
              <w:rPr>
                <w:szCs w:val="28"/>
                <w:highlight w:val="none"/>
              </w:rPr>
            </w:pPr>
            <w:r>
              <w:rPr>
                <w:rFonts w:hint="eastAsia"/>
                <w:szCs w:val="28"/>
                <w:highlight w:val="none"/>
              </w:rPr>
              <w:t>万元</w:t>
            </w:r>
          </w:p>
        </w:tc>
        <w:tc>
          <w:tcPr>
            <w:tcW w:w="3944" w:type="dxa"/>
            <w:tcBorders>
              <w:top w:val="single" w:color="000000" w:sz="4" w:space="0"/>
              <w:left w:val="single" w:color="000000" w:sz="4" w:space="0"/>
              <w:bottom w:val="single" w:color="000000" w:sz="4" w:space="0"/>
            </w:tcBorders>
            <w:vAlign w:val="center"/>
          </w:tcPr>
          <w:p>
            <w:pPr>
              <w:pStyle w:val="29"/>
              <w:jc w:val="center"/>
              <w:rPr>
                <w:szCs w:val="28"/>
                <w:highlight w:val="none"/>
                <w:lang w:val="en-US"/>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26" w:hRule="atLeast"/>
        </w:trPr>
        <w:tc>
          <w:tcPr>
            <w:tcW w:w="3708" w:type="dxa"/>
            <w:tcBorders>
              <w:top w:val="single" w:color="000000" w:sz="4" w:space="0"/>
              <w:bottom w:val="single" w:color="000000" w:sz="4" w:space="0"/>
              <w:right w:val="single" w:color="000000" w:sz="4" w:space="0"/>
            </w:tcBorders>
            <w:vAlign w:val="center"/>
          </w:tcPr>
          <w:p>
            <w:pPr>
              <w:pStyle w:val="29"/>
              <w:spacing w:before="31"/>
              <w:ind w:left="97"/>
              <w:jc w:val="center"/>
              <w:rPr>
                <w:szCs w:val="28"/>
                <w:highlight w:val="none"/>
              </w:rPr>
            </w:pPr>
            <w:r>
              <w:rPr>
                <w:rFonts w:hint="eastAsia"/>
                <w:szCs w:val="28"/>
                <w:highlight w:val="none"/>
              </w:rPr>
              <w:t>七、负债合计</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29"/>
              <w:spacing w:before="31"/>
              <w:ind w:left="368" w:right="361"/>
              <w:jc w:val="center"/>
              <w:rPr>
                <w:szCs w:val="28"/>
                <w:highlight w:val="none"/>
              </w:rPr>
            </w:pPr>
            <w:r>
              <w:rPr>
                <w:rFonts w:hint="eastAsia"/>
                <w:szCs w:val="28"/>
                <w:highlight w:val="none"/>
              </w:rPr>
              <w:t>万元</w:t>
            </w:r>
          </w:p>
        </w:tc>
        <w:tc>
          <w:tcPr>
            <w:tcW w:w="3944" w:type="dxa"/>
            <w:tcBorders>
              <w:top w:val="single" w:color="000000" w:sz="4" w:space="0"/>
              <w:left w:val="single" w:color="000000" w:sz="4" w:space="0"/>
              <w:bottom w:val="single" w:color="000000" w:sz="4" w:space="0"/>
            </w:tcBorders>
            <w:vAlign w:val="center"/>
          </w:tcPr>
          <w:p>
            <w:pPr>
              <w:pStyle w:val="29"/>
              <w:jc w:val="center"/>
              <w:rPr>
                <w:szCs w:val="28"/>
                <w:highlight w:val="none"/>
                <w:lang w:val="en-US"/>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27" w:hRule="atLeast"/>
        </w:trPr>
        <w:tc>
          <w:tcPr>
            <w:tcW w:w="3708" w:type="dxa"/>
            <w:tcBorders>
              <w:top w:val="single" w:color="000000" w:sz="4" w:space="0"/>
              <w:bottom w:val="single" w:color="000000" w:sz="4" w:space="0"/>
              <w:right w:val="single" w:color="000000" w:sz="4" w:space="0"/>
            </w:tcBorders>
            <w:vAlign w:val="center"/>
          </w:tcPr>
          <w:p>
            <w:pPr>
              <w:pStyle w:val="29"/>
              <w:spacing w:before="31"/>
              <w:ind w:left="97"/>
              <w:jc w:val="center"/>
              <w:rPr>
                <w:szCs w:val="28"/>
                <w:highlight w:val="none"/>
              </w:rPr>
            </w:pPr>
            <w:r>
              <w:rPr>
                <w:rFonts w:hint="eastAsia"/>
                <w:szCs w:val="28"/>
                <w:highlight w:val="none"/>
              </w:rPr>
              <w:t>八、营业收入</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29"/>
              <w:spacing w:before="31"/>
              <w:ind w:left="368" w:right="361"/>
              <w:jc w:val="center"/>
              <w:rPr>
                <w:szCs w:val="28"/>
                <w:highlight w:val="none"/>
              </w:rPr>
            </w:pPr>
            <w:r>
              <w:rPr>
                <w:rFonts w:hint="eastAsia"/>
                <w:szCs w:val="28"/>
                <w:highlight w:val="none"/>
              </w:rPr>
              <w:t>万元</w:t>
            </w:r>
          </w:p>
        </w:tc>
        <w:tc>
          <w:tcPr>
            <w:tcW w:w="3944" w:type="dxa"/>
            <w:tcBorders>
              <w:top w:val="single" w:color="000000" w:sz="4" w:space="0"/>
              <w:left w:val="single" w:color="000000" w:sz="4" w:space="0"/>
              <w:bottom w:val="single" w:color="000000" w:sz="4" w:space="0"/>
            </w:tcBorders>
            <w:vAlign w:val="center"/>
          </w:tcPr>
          <w:p>
            <w:pPr>
              <w:pStyle w:val="29"/>
              <w:jc w:val="center"/>
              <w:rPr>
                <w:szCs w:val="28"/>
                <w:highlight w:val="none"/>
                <w:lang w:val="en-US"/>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27" w:hRule="atLeast"/>
        </w:trPr>
        <w:tc>
          <w:tcPr>
            <w:tcW w:w="3708" w:type="dxa"/>
            <w:tcBorders>
              <w:top w:val="single" w:color="000000" w:sz="4" w:space="0"/>
              <w:bottom w:val="single" w:color="000000" w:sz="4" w:space="0"/>
              <w:right w:val="single" w:color="000000" w:sz="4" w:space="0"/>
            </w:tcBorders>
            <w:vAlign w:val="center"/>
          </w:tcPr>
          <w:p>
            <w:pPr>
              <w:pStyle w:val="29"/>
              <w:spacing w:before="28"/>
              <w:ind w:left="97"/>
              <w:jc w:val="center"/>
              <w:rPr>
                <w:szCs w:val="28"/>
                <w:highlight w:val="none"/>
              </w:rPr>
            </w:pPr>
            <w:r>
              <w:rPr>
                <w:rFonts w:hint="eastAsia"/>
                <w:szCs w:val="28"/>
                <w:highlight w:val="none"/>
              </w:rPr>
              <w:t>九、净利润</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29"/>
              <w:spacing w:before="28"/>
              <w:ind w:left="368" w:right="361"/>
              <w:jc w:val="center"/>
              <w:rPr>
                <w:szCs w:val="28"/>
                <w:highlight w:val="none"/>
              </w:rPr>
            </w:pPr>
            <w:r>
              <w:rPr>
                <w:rFonts w:hint="eastAsia"/>
                <w:szCs w:val="28"/>
                <w:highlight w:val="none"/>
              </w:rPr>
              <w:t>万元</w:t>
            </w:r>
          </w:p>
        </w:tc>
        <w:tc>
          <w:tcPr>
            <w:tcW w:w="3944" w:type="dxa"/>
            <w:tcBorders>
              <w:top w:val="single" w:color="000000" w:sz="4" w:space="0"/>
              <w:left w:val="single" w:color="000000" w:sz="4" w:space="0"/>
              <w:bottom w:val="single" w:color="000000" w:sz="4" w:space="0"/>
            </w:tcBorders>
            <w:vAlign w:val="center"/>
          </w:tcPr>
          <w:p>
            <w:pPr>
              <w:pStyle w:val="29"/>
              <w:jc w:val="center"/>
              <w:rPr>
                <w:szCs w:val="28"/>
                <w:highlight w:val="none"/>
                <w:lang w:val="en-US"/>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25" w:hRule="atLeast"/>
        </w:trPr>
        <w:tc>
          <w:tcPr>
            <w:tcW w:w="3708" w:type="dxa"/>
            <w:tcBorders>
              <w:top w:val="single" w:color="000000" w:sz="4" w:space="0"/>
              <w:bottom w:val="single" w:color="000000" w:sz="4" w:space="0"/>
              <w:right w:val="single" w:color="000000" w:sz="4" w:space="0"/>
            </w:tcBorders>
            <w:vAlign w:val="center"/>
          </w:tcPr>
          <w:p>
            <w:pPr>
              <w:pStyle w:val="29"/>
              <w:spacing w:before="31"/>
              <w:ind w:left="97"/>
              <w:jc w:val="center"/>
              <w:rPr>
                <w:szCs w:val="28"/>
                <w:highlight w:val="none"/>
              </w:rPr>
            </w:pPr>
            <w:r>
              <w:rPr>
                <w:rFonts w:hint="eastAsia"/>
                <w:szCs w:val="28"/>
                <w:highlight w:val="none"/>
              </w:rPr>
              <w:t>十、现金流量净额</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29"/>
              <w:spacing w:before="31"/>
              <w:ind w:left="368" w:right="361"/>
              <w:jc w:val="center"/>
              <w:rPr>
                <w:szCs w:val="28"/>
                <w:highlight w:val="none"/>
              </w:rPr>
            </w:pPr>
            <w:r>
              <w:rPr>
                <w:rFonts w:hint="eastAsia"/>
                <w:szCs w:val="28"/>
                <w:highlight w:val="none"/>
              </w:rPr>
              <w:t>万元</w:t>
            </w:r>
          </w:p>
        </w:tc>
        <w:tc>
          <w:tcPr>
            <w:tcW w:w="3944" w:type="dxa"/>
            <w:tcBorders>
              <w:top w:val="single" w:color="000000" w:sz="4" w:space="0"/>
              <w:left w:val="single" w:color="000000" w:sz="4" w:space="0"/>
              <w:bottom w:val="single" w:color="000000" w:sz="4" w:space="0"/>
            </w:tcBorders>
            <w:vAlign w:val="center"/>
          </w:tcPr>
          <w:p>
            <w:pPr>
              <w:pStyle w:val="29"/>
              <w:jc w:val="center"/>
              <w:rPr>
                <w:szCs w:val="28"/>
                <w:highlight w:val="none"/>
                <w:lang w:val="en-US"/>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PrEx>
        <w:trPr>
          <w:trHeight w:val="527" w:hRule="atLeast"/>
        </w:trPr>
        <w:tc>
          <w:tcPr>
            <w:tcW w:w="3708" w:type="dxa"/>
            <w:tcBorders>
              <w:top w:val="single" w:color="000000" w:sz="4" w:space="0"/>
              <w:bottom w:val="single" w:color="000000" w:sz="4" w:space="0"/>
              <w:right w:val="single" w:color="000000" w:sz="4" w:space="0"/>
            </w:tcBorders>
            <w:vAlign w:val="center"/>
          </w:tcPr>
          <w:p>
            <w:pPr>
              <w:pStyle w:val="29"/>
              <w:spacing w:before="28"/>
              <w:ind w:left="97"/>
              <w:jc w:val="center"/>
              <w:rPr>
                <w:szCs w:val="28"/>
                <w:highlight w:val="none"/>
              </w:rPr>
            </w:pPr>
            <w:r>
              <w:rPr>
                <w:rFonts w:hint="eastAsia"/>
                <w:szCs w:val="28"/>
                <w:highlight w:val="none"/>
              </w:rPr>
              <w:t>十一、主要财务指标</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29"/>
              <w:jc w:val="center"/>
              <w:rPr>
                <w:szCs w:val="28"/>
                <w:highlight w:val="none"/>
              </w:rPr>
            </w:pPr>
          </w:p>
        </w:tc>
        <w:tc>
          <w:tcPr>
            <w:tcW w:w="3944" w:type="dxa"/>
            <w:tcBorders>
              <w:top w:val="single" w:color="000000" w:sz="4" w:space="0"/>
              <w:left w:val="single" w:color="000000" w:sz="4" w:space="0"/>
              <w:bottom w:val="single" w:color="000000" w:sz="4" w:space="0"/>
            </w:tcBorders>
            <w:vAlign w:val="center"/>
          </w:tcPr>
          <w:p>
            <w:pPr>
              <w:pStyle w:val="29"/>
              <w:jc w:val="center"/>
              <w:rPr>
                <w:szCs w:val="28"/>
                <w:highlight w:val="none"/>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26" w:hRule="atLeast"/>
        </w:trPr>
        <w:tc>
          <w:tcPr>
            <w:tcW w:w="3708" w:type="dxa"/>
            <w:tcBorders>
              <w:top w:val="single" w:color="000000" w:sz="4" w:space="0"/>
              <w:bottom w:val="single" w:color="000000" w:sz="4" w:space="0"/>
              <w:right w:val="single" w:color="000000" w:sz="4" w:space="0"/>
            </w:tcBorders>
            <w:vAlign w:val="center"/>
          </w:tcPr>
          <w:p>
            <w:pPr>
              <w:pStyle w:val="29"/>
              <w:spacing w:before="28"/>
              <w:ind w:left="97"/>
              <w:jc w:val="left"/>
              <w:rPr>
                <w:szCs w:val="28"/>
                <w:highlight w:val="none"/>
              </w:rPr>
            </w:pPr>
            <w:r>
              <w:rPr>
                <w:rFonts w:hint="eastAsia"/>
                <w:szCs w:val="28"/>
                <w:highlight w:val="none"/>
              </w:rPr>
              <w:t>1．净资产收益率</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29"/>
              <w:spacing w:before="28"/>
              <w:ind w:left="97"/>
              <w:jc w:val="center"/>
              <w:rPr>
                <w:szCs w:val="28"/>
                <w:highlight w:val="none"/>
              </w:rPr>
            </w:pPr>
            <w:r>
              <w:rPr>
                <w:rFonts w:hint="eastAsia"/>
                <w:szCs w:val="28"/>
                <w:highlight w:val="none"/>
              </w:rPr>
              <w:t>%</w:t>
            </w:r>
          </w:p>
        </w:tc>
        <w:tc>
          <w:tcPr>
            <w:tcW w:w="3944" w:type="dxa"/>
            <w:tcBorders>
              <w:top w:val="single" w:color="000000" w:sz="4" w:space="0"/>
              <w:left w:val="single" w:color="000000" w:sz="4" w:space="0"/>
              <w:bottom w:val="single" w:color="000000" w:sz="4" w:space="0"/>
            </w:tcBorders>
            <w:vAlign w:val="center"/>
          </w:tcPr>
          <w:p>
            <w:pPr>
              <w:widowControl/>
              <w:jc w:val="center"/>
              <w:textAlignment w:val="center"/>
              <w:rPr>
                <w:szCs w:val="28"/>
                <w:highlight w:val="none"/>
                <w:lang w:val="en-US"/>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27" w:hRule="atLeast"/>
        </w:trPr>
        <w:tc>
          <w:tcPr>
            <w:tcW w:w="3708" w:type="dxa"/>
            <w:tcBorders>
              <w:top w:val="single" w:color="000000" w:sz="4" w:space="0"/>
              <w:bottom w:val="single" w:color="000000" w:sz="4" w:space="0"/>
              <w:right w:val="single" w:color="000000" w:sz="4" w:space="0"/>
            </w:tcBorders>
            <w:vAlign w:val="center"/>
          </w:tcPr>
          <w:p>
            <w:pPr>
              <w:pStyle w:val="29"/>
              <w:spacing w:before="28"/>
              <w:ind w:left="97"/>
              <w:jc w:val="left"/>
              <w:rPr>
                <w:szCs w:val="28"/>
                <w:highlight w:val="none"/>
              </w:rPr>
            </w:pPr>
            <w:r>
              <w:rPr>
                <w:rFonts w:hint="eastAsia"/>
                <w:szCs w:val="28"/>
                <w:highlight w:val="none"/>
              </w:rPr>
              <w:t>2．总资产报酬率</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29"/>
              <w:spacing w:before="28"/>
              <w:ind w:left="97"/>
              <w:jc w:val="center"/>
              <w:rPr>
                <w:szCs w:val="28"/>
                <w:highlight w:val="none"/>
              </w:rPr>
            </w:pPr>
            <w:r>
              <w:rPr>
                <w:rFonts w:hint="eastAsia"/>
                <w:szCs w:val="28"/>
                <w:highlight w:val="none"/>
              </w:rPr>
              <w:t>%</w:t>
            </w:r>
          </w:p>
        </w:tc>
        <w:tc>
          <w:tcPr>
            <w:tcW w:w="3944" w:type="dxa"/>
            <w:tcBorders>
              <w:top w:val="single" w:color="000000" w:sz="4" w:space="0"/>
              <w:left w:val="single" w:color="000000" w:sz="4" w:space="0"/>
              <w:bottom w:val="single" w:color="000000" w:sz="4" w:space="0"/>
            </w:tcBorders>
            <w:vAlign w:val="center"/>
          </w:tcPr>
          <w:p>
            <w:pPr>
              <w:pStyle w:val="29"/>
              <w:jc w:val="center"/>
              <w:rPr>
                <w:szCs w:val="28"/>
                <w:highlight w:val="none"/>
                <w:lang w:val="en-US"/>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PrEx>
        <w:trPr>
          <w:trHeight w:val="527" w:hRule="atLeast"/>
        </w:trPr>
        <w:tc>
          <w:tcPr>
            <w:tcW w:w="3708" w:type="dxa"/>
            <w:tcBorders>
              <w:top w:val="single" w:color="000000" w:sz="4" w:space="0"/>
              <w:bottom w:val="single" w:color="000000" w:sz="4" w:space="0"/>
              <w:right w:val="single" w:color="000000" w:sz="4" w:space="0"/>
            </w:tcBorders>
            <w:vAlign w:val="center"/>
          </w:tcPr>
          <w:p>
            <w:pPr>
              <w:pStyle w:val="29"/>
              <w:spacing w:before="28"/>
              <w:ind w:left="97"/>
              <w:jc w:val="left"/>
              <w:rPr>
                <w:szCs w:val="28"/>
                <w:highlight w:val="none"/>
              </w:rPr>
            </w:pPr>
            <w:r>
              <w:rPr>
                <w:rFonts w:hint="eastAsia"/>
                <w:szCs w:val="28"/>
                <w:highlight w:val="none"/>
              </w:rPr>
              <w:t>3．主营业务利润率</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29"/>
              <w:spacing w:before="28"/>
              <w:ind w:left="97"/>
              <w:jc w:val="center"/>
              <w:rPr>
                <w:szCs w:val="28"/>
                <w:highlight w:val="none"/>
              </w:rPr>
            </w:pPr>
            <w:r>
              <w:rPr>
                <w:rFonts w:hint="eastAsia"/>
                <w:szCs w:val="28"/>
                <w:highlight w:val="none"/>
              </w:rPr>
              <w:t>%</w:t>
            </w:r>
          </w:p>
        </w:tc>
        <w:tc>
          <w:tcPr>
            <w:tcW w:w="3944" w:type="dxa"/>
            <w:tcBorders>
              <w:top w:val="single" w:color="000000" w:sz="4" w:space="0"/>
              <w:left w:val="single" w:color="000000" w:sz="4" w:space="0"/>
              <w:bottom w:val="single" w:color="000000" w:sz="4" w:space="0"/>
            </w:tcBorders>
            <w:vAlign w:val="center"/>
          </w:tcPr>
          <w:p>
            <w:pPr>
              <w:pStyle w:val="29"/>
              <w:jc w:val="center"/>
              <w:rPr>
                <w:szCs w:val="28"/>
                <w:highlight w:val="none"/>
                <w:lang w:val="en-US"/>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26" w:hRule="atLeast"/>
        </w:trPr>
        <w:tc>
          <w:tcPr>
            <w:tcW w:w="3708" w:type="dxa"/>
            <w:tcBorders>
              <w:top w:val="single" w:color="000000" w:sz="4" w:space="0"/>
              <w:bottom w:val="single" w:color="000000" w:sz="4" w:space="0"/>
              <w:right w:val="single" w:color="000000" w:sz="4" w:space="0"/>
            </w:tcBorders>
            <w:vAlign w:val="center"/>
          </w:tcPr>
          <w:p>
            <w:pPr>
              <w:pStyle w:val="29"/>
              <w:spacing w:before="28"/>
              <w:ind w:left="97"/>
              <w:jc w:val="left"/>
              <w:rPr>
                <w:szCs w:val="28"/>
                <w:highlight w:val="none"/>
              </w:rPr>
            </w:pPr>
            <w:r>
              <w:rPr>
                <w:rFonts w:hint="eastAsia"/>
                <w:szCs w:val="28"/>
                <w:highlight w:val="none"/>
              </w:rPr>
              <w:t>4．资产负债率</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29"/>
              <w:spacing w:before="28"/>
              <w:ind w:left="97"/>
              <w:jc w:val="center"/>
              <w:rPr>
                <w:szCs w:val="28"/>
                <w:highlight w:val="none"/>
              </w:rPr>
            </w:pPr>
            <w:r>
              <w:rPr>
                <w:rFonts w:hint="eastAsia"/>
                <w:szCs w:val="28"/>
                <w:highlight w:val="none"/>
              </w:rPr>
              <w:t>%</w:t>
            </w:r>
          </w:p>
        </w:tc>
        <w:tc>
          <w:tcPr>
            <w:tcW w:w="3944" w:type="dxa"/>
            <w:tcBorders>
              <w:top w:val="single" w:color="000000" w:sz="4" w:space="0"/>
              <w:left w:val="single" w:color="000000" w:sz="4" w:space="0"/>
              <w:bottom w:val="single" w:color="000000" w:sz="4" w:space="0"/>
            </w:tcBorders>
            <w:vAlign w:val="center"/>
          </w:tcPr>
          <w:p>
            <w:pPr>
              <w:pStyle w:val="29"/>
              <w:jc w:val="center"/>
              <w:rPr>
                <w:szCs w:val="28"/>
                <w:highlight w:val="none"/>
                <w:lang w:val="en-US"/>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26" w:hRule="atLeast"/>
        </w:trPr>
        <w:tc>
          <w:tcPr>
            <w:tcW w:w="3708" w:type="dxa"/>
            <w:tcBorders>
              <w:top w:val="single" w:color="000000" w:sz="4" w:space="0"/>
              <w:right w:val="single" w:color="000000" w:sz="4" w:space="0"/>
            </w:tcBorders>
            <w:vAlign w:val="center"/>
          </w:tcPr>
          <w:p>
            <w:pPr>
              <w:pStyle w:val="29"/>
              <w:spacing w:before="28"/>
              <w:ind w:left="97"/>
              <w:jc w:val="left"/>
              <w:rPr>
                <w:szCs w:val="28"/>
                <w:highlight w:val="none"/>
                <w:lang w:val="en-US"/>
              </w:rPr>
            </w:pPr>
            <w:r>
              <w:rPr>
                <w:rFonts w:hint="eastAsia"/>
                <w:szCs w:val="28"/>
                <w:highlight w:val="none"/>
                <w:lang w:val="en-US"/>
              </w:rPr>
              <w:t>5.流动比率</w:t>
            </w:r>
          </w:p>
        </w:tc>
        <w:tc>
          <w:tcPr>
            <w:tcW w:w="1702" w:type="dxa"/>
            <w:tcBorders>
              <w:top w:val="single" w:color="000000" w:sz="4" w:space="0"/>
              <w:left w:val="single" w:color="000000" w:sz="4" w:space="0"/>
              <w:right w:val="single" w:color="000000" w:sz="4" w:space="0"/>
            </w:tcBorders>
            <w:vAlign w:val="center"/>
          </w:tcPr>
          <w:p>
            <w:pPr>
              <w:pStyle w:val="29"/>
              <w:spacing w:before="28"/>
              <w:ind w:left="97"/>
              <w:jc w:val="center"/>
              <w:rPr>
                <w:szCs w:val="28"/>
                <w:highlight w:val="none"/>
              </w:rPr>
            </w:pPr>
            <w:r>
              <w:rPr>
                <w:rFonts w:hint="eastAsia"/>
                <w:szCs w:val="28"/>
                <w:highlight w:val="none"/>
              </w:rPr>
              <w:t>%</w:t>
            </w:r>
          </w:p>
        </w:tc>
        <w:tc>
          <w:tcPr>
            <w:tcW w:w="3944" w:type="dxa"/>
            <w:tcBorders>
              <w:top w:val="single" w:color="000000" w:sz="4" w:space="0"/>
              <w:left w:val="single" w:color="000000" w:sz="4" w:space="0"/>
            </w:tcBorders>
            <w:vAlign w:val="center"/>
          </w:tcPr>
          <w:p>
            <w:pPr>
              <w:pStyle w:val="29"/>
              <w:jc w:val="center"/>
              <w:rPr>
                <w:szCs w:val="28"/>
                <w:highlight w:val="none"/>
                <w:lang w:val="en-US"/>
              </w:rPr>
            </w:pPr>
          </w:p>
        </w:tc>
      </w:tr>
    </w:tbl>
    <w:p>
      <w:pPr>
        <w:spacing w:line="393" w:lineRule="auto"/>
        <w:rPr>
          <w:sz w:val="21"/>
          <w:highlight w:val="none"/>
        </w:rPr>
        <w:sectPr>
          <w:pgSz w:w="12240" w:h="15840"/>
          <w:pgMar w:top="1400" w:right="1100" w:bottom="1120" w:left="1400" w:header="0" w:footer="841" w:gutter="0"/>
          <w:cols w:space="720" w:num="1"/>
        </w:sectPr>
      </w:pPr>
    </w:p>
    <w:p>
      <w:pPr>
        <w:pStyle w:val="5"/>
        <w:spacing w:before="43"/>
        <w:ind w:left="537" w:firstLine="0"/>
        <w:rPr>
          <w:highlight w:val="none"/>
        </w:rPr>
      </w:pPr>
      <w:bookmarkStart w:id="239" w:name="_bookmark157"/>
      <w:bookmarkEnd w:id="239"/>
      <w:bookmarkStart w:id="240" w:name="_Toc30120"/>
      <w:r>
        <w:rPr>
          <w:highlight w:val="none"/>
        </w:rPr>
        <w:t>（三）近年完成的类似项目情况表</w:t>
      </w:r>
      <w:bookmarkEnd w:id="240"/>
    </w:p>
    <w:p>
      <w:pPr>
        <w:pStyle w:val="11"/>
        <w:rPr>
          <w:sz w:val="20"/>
          <w:highlight w:val="none"/>
        </w:rPr>
      </w:pPr>
    </w:p>
    <w:p>
      <w:pPr>
        <w:pStyle w:val="11"/>
        <w:spacing w:before="9"/>
        <w:rPr>
          <w:sz w:val="20"/>
          <w:highlight w:val="none"/>
        </w:rPr>
      </w:pPr>
    </w:p>
    <w:tbl>
      <w:tblPr>
        <w:tblStyle w:val="22"/>
        <w:tblW w:w="8522" w:type="dxa"/>
        <w:tblInd w:w="4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69"/>
        <w:gridCol w:w="62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9" w:hRule="atLeast"/>
        </w:trPr>
        <w:tc>
          <w:tcPr>
            <w:tcW w:w="2269" w:type="dxa"/>
          </w:tcPr>
          <w:p>
            <w:pPr>
              <w:pStyle w:val="29"/>
              <w:spacing w:before="1"/>
              <w:rPr>
                <w:sz w:val="20"/>
                <w:highlight w:val="none"/>
              </w:rPr>
            </w:pPr>
          </w:p>
          <w:p>
            <w:pPr>
              <w:pStyle w:val="29"/>
              <w:ind w:left="273" w:right="265"/>
              <w:jc w:val="center"/>
              <w:rPr>
                <w:sz w:val="21"/>
                <w:highlight w:val="none"/>
              </w:rPr>
            </w:pPr>
            <w:r>
              <w:rPr>
                <w:sz w:val="21"/>
                <w:highlight w:val="none"/>
              </w:rPr>
              <w:t>材料名称</w:t>
            </w:r>
          </w:p>
        </w:tc>
        <w:tc>
          <w:tcPr>
            <w:tcW w:w="6253" w:type="dxa"/>
          </w:tcPr>
          <w:p>
            <w:pPr>
              <w:pStyle w:val="29"/>
              <w:rPr>
                <w:rFonts w:ascii="Times New Roman"/>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2269" w:type="dxa"/>
          </w:tcPr>
          <w:p>
            <w:pPr>
              <w:pStyle w:val="29"/>
              <w:spacing w:before="8"/>
              <w:rPr>
                <w:sz w:val="17"/>
                <w:highlight w:val="none"/>
              </w:rPr>
            </w:pPr>
          </w:p>
          <w:p>
            <w:pPr>
              <w:pStyle w:val="29"/>
              <w:ind w:left="273" w:right="265"/>
              <w:jc w:val="center"/>
              <w:rPr>
                <w:sz w:val="21"/>
                <w:highlight w:val="none"/>
              </w:rPr>
            </w:pPr>
            <w:r>
              <w:rPr>
                <w:sz w:val="21"/>
                <w:highlight w:val="none"/>
              </w:rPr>
              <w:t>规格和型号</w:t>
            </w:r>
          </w:p>
        </w:tc>
        <w:tc>
          <w:tcPr>
            <w:tcW w:w="6253" w:type="dxa"/>
          </w:tcPr>
          <w:p>
            <w:pPr>
              <w:pStyle w:val="29"/>
              <w:rPr>
                <w:rFonts w:ascii="Times New Roman"/>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2269" w:type="dxa"/>
          </w:tcPr>
          <w:p>
            <w:pPr>
              <w:pStyle w:val="29"/>
              <w:spacing w:before="11"/>
              <w:rPr>
                <w:sz w:val="17"/>
                <w:highlight w:val="none"/>
              </w:rPr>
            </w:pPr>
          </w:p>
          <w:p>
            <w:pPr>
              <w:pStyle w:val="29"/>
              <w:ind w:left="273" w:right="265"/>
              <w:jc w:val="center"/>
              <w:rPr>
                <w:sz w:val="21"/>
                <w:highlight w:val="none"/>
              </w:rPr>
            </w:pPr>
            <w:r>
              <w:rPr>
                <w:sz w:val="21"/>
                <w:highlight w:val="none"/>
              </w:rPr>
              <w:t>项目名称</w:t>
            </w:r>
          </w:p>
        </w:tc>
        <w:tc>
          <w:tcPr>
            <w:tcW w:w="6253" w:type="dxa"/>
          </w:tcPr>
          <w:p>
            <w:pPr>
              <w:pStyle w:val="29"/>
              <w:rPr>
                <w:rFonts w:ascii="Times New Roman"/>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2269" w:type="dxa"/>
          </w:tcPr>
          <w:p>
            <w:pPr>
              <w:pStyle w:val="29"/>
              <w:spacing w:before="9"/>
              <w:rPr>
                <w:sz w:val="17"/>
                <w:highlight w:val="none"/>
              </w:rPr>
            </w:pPr>
          </w:p>
          <w:p>
            <w:pPr>
              <w:pStyle w:val="29"/>
              <w:ind w:left="273" w:right="265"/>
              <w:jc w:val="center"/>
              <w:rPr>
                <w:sz w:val="21"/>
                <w:highlight w:val="none"/>
              </w:rPr>
            </w:pPr>
            <w:r>
              <w:rPr>
                <w:sz w:val="21"/>
                <w:highlight w:val="none"/>
              </w:rPr>
              <w:t>买方名称</w:t>
            </w:r>
          </w:p>
        </w:tc>
        <w:tc>
          <w:tcPr>
            <w:tcW w:w="6253" w:type="dxa"/>
          </w:tcPr>
          <w:p>
            <w:pPr>
              <w:pStyle w:val="29"/>
              <w:rPr>
                <w:rFonts w:ascii="Times New Roman"/>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2269" w:type="dxa"/>
          </w:tcPr>
          <w:p>
            <w:pPr>
              <w:pStyle w:val="29"/>
              <w:spacing w:before="11"/>
              <w:rPr>
                <w:sz w:val="17"/>
                <w:highlight w:val="none"/>
              </w:rPr>
            </w:pPr>
          </w:p>
          <w:p>
            <w:pPr>
              <w:pStyle w:val="29"/>
              <w:ind w:left="273" w:right="265"/>
              <w:jc w:val="center"/>
              <w:rPr>
                <w:sz w:val="21"/>
                <w:highlight w:val="none"/>
              </w:rPr>
            </w:pPr>
            <w:r>
              <w:rPr>
                <w:sz w:val="21"/>
                <w:highlight w:val="none"/>
              </w:rPr>
              <w:t>买方联系人及电话</w:t>
            </w:r>
          </w:p>
        </w:tc>
        <w:tc>
          <w:tcPr>
            <w:tcW w:w="6253" w:type="dxa"/>
          </w:tcPr>
          <w:p>
            <w:pPr>
              <w:pStyle w:val="29"/>
              <w:rPr>
                <w:rFonts w:ascii="Times New Roman"/>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1" w:hRule="atLeast"/>
        </w:trPr>
        <w:tc>
          <w:tcPr>
            <w:tcW w:w="2269" w:type="dxa"/>
          </w:tcPr>
          <w:p>
            <w:pPr>
              <w:pStyle w:val="29"/>
              <w:spacing w:before="11"/>
              <w:rPr>
                <w:sz w:val="17"/>
                <w:highlight w:val="none"/>
              </w:rPr>
            </w:pPr>
          </w:p>
          <w:p>
            <w:pPr>
              <w:pStyle w:val="29"/>
              <w:ind w:left="273" w:right="265"/>
              <w:jc w:val="center"/>
              <w:rPr>
                <w:sz w:val="21"/>
                <w:highlight w:val="none"/>
              </w:rPr>
            </w:pPr>
            <w:r>
              <w:rPr>
                <w:sz w:val="21"/>
                <w:highlight w:val="none"/>
              </w:rPr>
              <w:t>合同价格</w:t>
            </w:r>
          </w:p>
        </w:tc>
        <w:tc>
          <w:tcPr>
            <w:tcW w:w="6253" w:type="dxa"/>
          </w:tcPr>
          <w:p>
            <w:pPr>
              <w:pStyle w:val="29"/>
              <w:rPr>
                <w:rFonts w:ascii="Times New Roman"/>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79" w:hRule="atLeast"/>
        </w:trPr>
        <w:tc>
          <w:tcPr>
            <w:tcW w:w="2269" w:type="dxa"/>
          </w:tcPr>
          <w:p>
            <w:pPr>
              <w:pStyle w:val="29"/>
              <w:rPr>
                <w:sz w:val="20"/>
                <w:highlight w:val="none"/>
              </w:rPr>
            </w:pPr>
          </w:p>
          <w:p>
            <w:pPr>
              <w:pStyle w:val="29"/>
              <w:rPr>
                <w:sz w:val="20"/>
                <w:highlight w:val="none"/>
              </w:rPr>
            </w:pPr>
          </w:p>
          <w:p>
            <w:pPr>
              <w:pStyle w:val="29"/>
              <w:rPr>
                <w:sz w:val="20"/>
                <w:highlight w:val="none"/>
              </w:rPr>
            </w:pPr>
          </w:p>
          <w:p>
            <w:pPr>
              <w:pStyle w:val="29"/>
              <w:rPr>
                <w:sz w:val="20"/>
                <w:highlight w:val="none"/>
              </w:rPr>
            </w:pPr>
          </w:p>
          <w:p>
            <w:pPr>
              <w:pStyle w:val="29"/>
              <w:spacing w:before="12"/>
              <w:rPr>
                <w:sz w:val="16"/>
                <w:highlight w:val="none"/>
              </w:rPr>
            </w:pPr>
          </w:p>
          <w:p>
            <w:pPr>
              <w:pStyle w:val="29"/>
              <w:spacing w:line="393" w:lineRule="auto"/>
              <w:ind w:left="818" w:right="176" w:hanging="632"/>
              <w:rPr>
                <w:sz w:val="21"/>
                <w:highlight w:val="none"/>
              </w:rPr>
            </w:pPr>
            <w:r>
              <w:rPr>
                <w:sz w:val="21"/>
                <w:highlight w:val="none"/>
              </w:rPr>
              <w:t>项目概况及投标人履约情况</w:t>
            </w:r>
          </w:p>
        </w:tc>
        <w:tc>
          <w:tcPr>
            <w:tcW w:w="6253" w:type="dxa"/>
          </w:tcPr>
          <w:p>
            <w:pPr>
              <w:pStyle w:val="29"/>
              <w:rPr>
                <w:rFonts w:ascii="Times New Roman"/>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2269" w:type="dxa"/>
          </w:tcPr>
          <w:p>
            <w:pPr>
              <w:pStyle w:val="29"/>
              <w:spacing w:before="5"/>
              <w:rPr>
                <w:sz w:val="18"/>
                <w:highlight w:val="none"/>
              </w:rPr>
            </w:pPr>
          </w:p>
          <w:p>
            <w:pPr>
              <w:pStyle w:val="29"/>
              <w:ind w:left="273" w:right="263"/>
              <w:jc w:val="center"/>
              <w:rPr>
                <w:sz w:val="21"/>
                <w:highlight w:val="none"/>
              </w:rPr>
            </w:pPr>
            <w:r>
              <w:rPr>
                <w:sz w:val="21"/>
                <w:highlight w:val="none"/>
              </w:rPr>
              <w:t>备注</w:t>
            </w:r>
          </w:p>
        </w:tc>
        <w:tc>
          <w:tcPr>
            <w:tcW w:w="6253" w:type="dxa"/>
          </w:tcPr>
          <w:p>
            <w:pPr>
              <w:pStyle w:val="29"/>
              <w:rPr>
                <w:rFonts w:ascii="Times New Roman"/>
                <w:sz w:val="20"/>
                <w:highlight w:val="none"/>
              </w:rPr>
            </w:pPr>
          </w:p>
        </w:tc>
      </w:tr>
    </w:tbl>
    <w:p>
      <w:pPr>
        <w:pStyle w:val="11"/>
        <w:spacing w:before="143"/>
        <w:ind w:left="400"/>
        <w:rPr>
          <w:highlight w:val="none"/>
        </w:rPr>
      </w:pPr>
      <w:r>
        <w:rPr>
          <w:highlight w:val="none"/>
        </w:rPr>
        <w:t>注：</w:t>
      </w:r>
      <w:r>
        <w:rPr>
          <w:rFonts w:ascii="Times New Roman" w:eastAsia="Times New Roman"/>
          <w:highlight w:val="none"/>
        </w:rPr>
        <w:t>1.</w:t>
      </w:r>
      <w:r>
        <w:rPr>
          <w:rFonts w:ascii="Times New Roman" w:eastAsia="Times New Roman"/>
          <w:spacing w:val="51"/>
          <w:highlight w:val="none"/>
        </w:rPr>
        <w:t xml:space="preserve"> </w:t>
      </w:r>
      <w:r>
        <w:rPr>
          <w:spacing w:val="-7"/>
          <w:highlight w:val="none"/>
        </w:rPr>
        <w:t xml:space="preserve">投标人应根据投标人须知第 </w:t>
      </w:r>
      <w:r>
        <w:rPr>
          <w:rFonts w:ascii="Times New Roman" w:eastAsia="Times New Roman"/>
          <w:highlight w:val="none"/>
        </w:rPr>
        <w:t xml:space="preserve">3.5.3 </w:t>
      </w:r>
      <w:r>
        <w:rPr>
          <w:spacing w:val="-3"/>
          <w:highlight w:val="none"/>
        </w:rPr>
        <w:t>项的要求在本表后附相关证明材料。</w:t>
      </w:r>
    </w:p>
    <w:p>
      <w:pPr>
        <w:pStyle w:val="11"/>
        <w:spacing w:before="170" w:line="393" w:lineRule="auto"/>
        <w:ind w:right="693"/>
        <w:jc w:val="both"/>
        <w:rPr>
          <w:highlight w:val="none"/>
        </w:rPr>
        <w:sectPr>
          <w:pgSz w:w="12240" w:h="15840"/>
          <w:pgMar w:top="1400" w:right="1100" w:bottom="1120" w:left="1400" w:header="0" w:footer="841" w:gutter="0"/>
          <w:cols w:space="720" w:num="1"/>
        </w:sectPr>
      </w:pPr>
    </w:p>
    <w:p>
      <w:pPr>
        <w:pStyle w:val="5"/>
        <w:spacing w:line="440" w:lineRule="exact"/>
        <w:ind w:firstLine="137"/>
        <w:rPr>
          <w:rFonts w:ascii="Times New Roman" w:hAnsi="Times New Roman"/>
          <w:highlight w:val="none"/>
        </w:rPr>
      </w:pPr>
      <w:bookmarkStart w:id="241" w:name="_bookmark159"/>
      <w:bookmarkEnd w:id="241"/>
      <w:bookmarkStart w:id="242" w:name="_bookmark158"/>
      <w:bookmarkEnd w:id="242"/>
      <w:bookmarkStart w:id="243" w:name="_Toc25467"/>
      <w:bookmarkStart w:id="244" w:name="_Toc4466"/>
      <w:bookmarkStart w:id="245" w:name="_Toc31777"/>
      <w:r>
        <w:rPr>
          <w:rFonts w:ascii="Times New Roman" w:hAnsi="Times New Roman"/>
          <w:highlight w:val="none"/>
        </w:rPr>
        <w:t>（</w:t>
      </w:r>
      <w:r>
        <w:rPr>
          <w:rFonts w:hint="eastAsia" w:ascii="Times New Roman" w:hAnsi="Times New Roman"/>
          <w:highlight w:val="none"/>
        </w:rPr>
        <w:t>四</w:t>
      </w:r>
      <w:r>
        <w:rPr>
          <w:rFonts w:ascii="Times New Roman" w:hAnsi="Times New Roman"/>
          <w:highlight w:val="none"/>
        </w:rPr>
        <w:t>）</w:t>
      </w:r>
      <w:r>
        <w:rPr>
          <w:rFonts w:hint="eastAsia" w:ascii="Times New Roman" w:hAnsi="Times New Roman"/>
          <w:highlight w:val="none"/>
        </w:rPr>
        <w:t>信用情况</w:t>
      </w:r>
      <w:bookmarkEnd w:id="243"/>
      <w:bookmarkEnd w:id="244"/>
    </w:p>
    <w:p>
      <w:pPr>
        <w:spacing w:line="440" w:lineRule="exact"/>
        <w:ind w:firstLine="420"/>
        <w:rPr>
          <w:rFonts w:ascii="Times New Roman" w:hAnsi="Times New Roman"/>
          <w:highlight w:val="none"/>
        </w:rPr>
      </w:pPr>
      <w:r>
        <w:rPr>
          <w:rFonts w:hint="eastAsia" w:ascii="Times New Roman" w:hAnsi="Times New Roman"/>
          <w:highlight w:val="none"/>
        </w:rPr>
        <w:t>1.</w:t>
      </w:r>
      <w:r>
        <w:rPr>
          <w:rFonts w:ascii="Times New Roman" w:hAnsi="Times New Roman"/>
          <w:szCs w:val="21"/>
          <w:highlight w:val="none"/>
        </w:rPr>
        <w:t>投标人</w:t>
      </w:r>
      <w:r>
        <w:rPr>
          <w:rFonts w:hint="eastAsia" w:ascii="Times New Roman" w:hAnsi="Times New Roman"/>
          <w:szCs w:val="21"/>
          <w:highlight w:val="none"/>
        </w:rPr>
        <w:t>对</w:t>
      </w:r>
      <w:r>
        <w:rPr>
          <w:rFonts w:ascii="Times New Roman" w:hAnsi="Times New Roman"/>
          <w:szCs w:val="21"/>
          <w:highlight w:val="none"/>
        </w:rPr>
        <w:t>是否存在投标人须知第</w:t>
      </w:r>
      <w:r>
        <w:rPr>
          <w:rFonts w:hint="eastAsia" w:ascii="Times New Roman" w:hAnsi="Times New Roman"/>
          <w:szCs w:val="21"/>
          <w:highlight w:val="none"/>
        </w:rPr>
        <w:t>1.4.3款各</w:t>
      </w:r>
      <w:r>
        <w:rPr>
          <w:rFonts w:ascii="Times New Roman" w:hAnsi="Times New Roman"/>
          <w:szCs w:val="21"/>
          <w:highlight w:val="none"/>
        </w:rPr>
        <w:t>情形按下表进行说明</w:t>
      </w:r>
      <w:r>
        <w:rPr>
          <w:rFonts w:hint="eastAsia" w:ascii="Times New Roman" w:hAnsi="Times New Roman"/>
          <w:highlight w:val="none"/>
        </w:rPr>
        <w:t>：</w:t>
      </w:r>
    </w:p>
    <w:tbl>
      <w:tblPr>
        <w:tblStyle w:val="23"/>
        <w:tblW w:w="87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5137"/>
        <w:gridCol w:w="2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676" w:type="dxa"/>
            <w:vAlign w:val="center"/>
          </w:tcPr>
          <w:p>
            <w:pPr>
              <w:spacing w:line="240" w:lineRule="atLeast"/>
              <w:jc w:val="center"/>
              <w:rPr>
                <w:rFonts w:ascii="Times New Roman" w:hAnsi="Times New Roman"/>
                <w:szCs w:val="21"/>
                <w:highlight w:val="none"/>
              </w:rPr>
            </w:pPr>
            <w:r>
              <w:rPr>
                <w:rFonts w:hint="eastAsia" w:ascii="Times New Roman" w:hAnsi="Times New Roman"/>
                <w:szCs w:val="21"/>
                <w:highlight w:val="none"/>
              </w:rPr>
              <w:t>序号</w:t>
            </w:r>
          </w:p>
        </w:tc>
        <w:tc>
          <w:tcPr>
            <w:tcW w:w="5137" w:type="dxa"/>
            <w:vAlign w:val="center"/>
          </w:tcPr>
          <w:p>
            <w:pPr>
              <w:spacing w:line="240" w:lineRule="atLeast"/>
              <w:jc w:val="center"/>
              <w:rPr>
                <w:rFonts w:ascii="Times New Roman" w:hAnsi="Times New Roman"/>
                <w:szCs w:val="21"/>
                <w:highlight w:val="none"/>
              </w:rPr>
            </w:pPr>
            <w:r>
              <w:rPr>
                <w:rFonts w:hint="eastAsia" w:ascii="Times New Roman" w:hAnsi="Times New Roman"/>
                <w:szCs w:val="21"/>
                <w:highlight w:val="none"/>
              </w:rPr>
              <w:t>具体情况</w:t>
            </w:r>
          </w:p>
        </w:tc>
        <w:tc>
          <w:tcPr>
            <w:tcW w:w="2906" w:type="dxa"/>
            <w:vAlign w:val="center"/>
          </w:tcPr>
          <w:p>
            <w:pPr>
              <w:spacing w:line="440" w:lineRule="exact"/>
              <w:jc w:val="center"/>
              <w:rPr>
                <w:rFonts w:ascii="Times New Roman" w:hAnsi="Times New Roman"/>
                <w:highlight w:val="none"/>
              </w:rPr>
            </w:pPr>
            <w:r>
              <w:rPr>
                <w:rFonts w:hint="eastAsia" w:ascii="Times New Roman" w:hAnsi="Times New Roman"/>
                <w:highlight w:val="none"/>
              </w:rPr>
              <w:t>是否存在</w:t>
            </w:r>
          </w:p>
          <w:p>
            <w:pPr>
              <w:spacing w:line="440" w:lineRule="exact"/>
              <w:jc w:val="center"/>
              <w:rPr>
                <w:rFonts w:ascii="Times New Roman" w:hAnsi="Times New Roman"/>
                <w:highlight w:val="none"/>
              </w:rPr>
            </w:pPr>
            <w:r>
              <w:rPr>
                <w:rFonts w:hint="eastAsia" w:ascii="Times New Roman" w:hAnsi="Times New Roman"/>
                <w:highlight w:val="none"/>
              </w:rPr>
              <w:t>（填“是”或“否”）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676" w:type="dxa"/>
            <w:vAlign w:val="center"/>
          </w:tcPr>
          <w:p>
            <w:pPr>
              <w:spacing w:line="440" w:lineRule="exact"/>
              <w:jc w:val="center"/>
              <w:rPr>
                <w:rFonts w:ascii="Times New Roman" w:hAnsi="Times New Roman"/>
                <w:highlight w:val="none"/>
              </w:rPr>
            </w:pPr>
            <w:r>
              <w:rPr>
                <w:rFonts w:hint="eastAsia" w:ascii="Times New Roman" w:hAnsi="Times New Roman"/>
                <w:highlight w:val="none"/>
              </w:rPr>
              <w:t>(1)</w:t>
            </w:r>
          </w:p>
        </w:tc>
        <w:tc>
          <w:tcPr>
            <w:tcW w:w="5137" w:type="dxa"/>
            <w:vAlign w:val="center"/>
          </w:tcPr>
          <w:p>
            <w:pPr>
              <w:spacing w:line="240" w:lineRule="atLeast"/>
              <w:jc w:val="both"/>
              <w:rPr>
                <w:rFonts w:ascii="Times New Roman" w:hAnsi="Times New Roman"/>
                <w:szCs w:val="21"/>
                <w:highlight w:val="none"/>
              </w:rPr>
            </w:pPr>
            <w:r>
              <w:rPr>
                <w:rFonts w:ascii="Times New Roman" w:hAnsi="Times New Roman"/>
                <w:szCs w:val="21"/>
                <w:highlight w:val="none"/>
              </w:rPr>
              <w:t>与招标人存在利害关系且可能影响招标公正性</w:t>
            </w:r>
          </w:p>
        </w:tc>
        <w:tc>
          <w:tcPr>
            <w:tcW w:w="2906" w:type="dxa"/>
          </w:tcPr>
          <w:p>
            <w:pPr>
              <w:spacing w:line="440" w:lineRule="exact"/>
              <w:jc w:val="both"/>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676" w:type="dxa"/>
            <w:vAlign w:val="center"/>
          </w:tcPr>
          <w:p>
            <w:pPr>
              <w:spacing w:line="440" w:lineRule="exact"/>
              <w:jc w:val="center"/>
              <w:rPr>
                <w:rFonts w:ascii="Times New Roman" w:hAnsi="Times New Roman"/>
                <w:highlight w:val="none"/>
              </w:rPr>
            </w:pPr>
            <w:r>
              <w:rPr>
                <w:rFonts w:hint="eastAsia" w:ascii="Times New Roman" w:hAnsi="Times New Roman"/>
                <w:highlight w:val="none"/>
              </w:rPr>
              <w:t>(2)</w:t>
            </w:r>
          </w:p>
        </w:tc>
        <w:tc>
          <w:tcPr>
            <w:tcW w:w="5137" w:type="dxa"/>
            <w:vAlign w:val="center"/>
          </w:tcPr>
          <w:p>
            <w:pPr>
              <w:spacing w:line="240" w:lineRule="atLeast"/>
              <w:jc w:val="both"/>
              <w:rPr>
                <w:rFonts w:ascii="Times New Roman" w:hAnsi="Times New Roman"/>
                <w:szCs w:val="21"/>
                <w:highlight w:val="none"/>
              </w:rPr>
            </w:pPr>
            <w:r>
              <w:rPr>
                <w:rFonts w:ascii="Times New Roman" w:hAnsi="Times New Roman"/>
                <w:szCs w:val="21"/>
                <w:highlight w:val="none"/>
              </w:rPr>
              <w:t>与本招标项目的其他投标人为同一个单位负责人</w:t>
            </w:r>
          </w:p>
        </w:tc>
        <w:tc>
          <w:tcPr>
            <w:tcW w:w="2906" w:type="dxa"/>
          </w:tcPr>
          <w:p>
            <w:pPr>
              <w:spacing w:line="440" w:lineRule="exact"/>
              <w:jc w:val="both"/>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676" w:type="dxa"/>
            <w:vAlign w:val="center"/>
          </w:tcPr>
          <w:p>
            <w:pPr>
              <w:spacing w:line="440" w:lineRule="exact"/>
              <w:jc w:val="center"/>
              <w:rPr>
                <w:rFonts w:ascii="Times New Roman" w:hAnsi="Times New Roman"/>
                <w:highlight w:val="none"/>
              </w:rPr>
            </w:pPr>
            <w:r>
              <w:rPr>
                <w:rFonts w:hint="eastAsia" w:ascii="Times New Roman" w:hAnsi="Times New Roman"/>
                <w:highlight w:val="none"/>
              </w:rPr>
              <w:t>(3)</w:t>
            </w:r>
          </w:p>
        </w:tc>
        <w:tc>
          <w:tcPr>
            <w:tcW w:w="5137" w:type="dxa"/>
            <w:vAlign w:val="center"/>
          </w:tcPr>
          <w:p>
            <w:pPr>
              <w:spacing w:line="240" w:lineRule="atLeast"/>
              <w:jc w:val="both"/>
              <w:rPr>
                <w:rFonts w:ascii="Times New Roman" w:hAnsi="Times New Roman"/>
                <w:szCs w:val="21"/>
                <w:highlight w:val="none"/>
              </w:rPr>
            </w:pPr>
            <w:r>
              <w:rPr>
                <w:rFonts w:ascii="Times New Roman" w:hAnsi="Times New Roman"/>
                <w:szCs w:val="21"/>
                <w:highlight w:val="none"/>
              </w:rPr>
              <w:t>与本招标项目的其他投标人存在控股、管理关系</w:t>
            </w:r>
          </w:p>
        </w:tc>
        <w:tc>
          <w:tcPr>
            <w:tcW w:w="2906" w:type="dxa"/>
          </w:tcPr>
          <w:p>
            <w:pPr>
              <w:spacing w:line="440" w:lineRule="exact"/>
              <w:jc w:val="both"/>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676" w:type="dxa"/>
            <w:vAlign w:val="center"/>
          </w:tcPr>
          <w:p>
            <w:pPr>
              <w:spacing w:line="440" w:lineRule="exact"/>
              <w:jc w:val="center"/>
              <w:rPr>
                <w:rFonts w:ascii="Times New Roman" w:hAnsi="Times New Roman"/>
                <w:highlight w:val="none"/>
              </w:rPr>
            </w:pPr>
            <w:r>
              <w:rPr>
                <w:rFonts w:hint="eastAsia" w:ascii="Times New Roman" w:hAnsi="Times New Roman"/>
                <w:highlight w:val="none"/>
              </w:rPr>
              <w:t>(4)</w:t>
            </w:r>
          </w:p>
        </w:tc>
        <w:tc>
          <w:tcPr>
            <w:tcW w:w="5137" w:type="dxa"/>
            <w:vAlign w:val="center"/>
          </w:tcPr>
          <w:p>
            <w:pPr>
              <w:spacing w:line="240" w:lineRule="atLeast"/>
              <w:jc w:val="both"/>
              <w:rPr>
                <w:rFonts w:ascii="Times New Roman" w:hAnsi="Times New Roman"/>
                <w:szCs w:val="21"/>
                <w:highlight w:val="none"/>
              </w:rPr>
            </w:pPr>
            <w:r>
              <w:rPr>
                <w:rFonts w:ascii="Times New Roman" w:hAnsi="Times New Roman"/>
                <w:szCs w:val="21"/>
                <w:highlight w:val="none"/>
              </w:rPr>
              <w:t>与本招标项目其他投标人代理同一个制造商同一品牌同一型号的材料投标</w:t>
            </w:r>
          </w:p>
        </w:tc>
        <w:tc>
          <w:tcPr>
            <w:tcW w:w="2906" w:type="dxa"/>
          </w:tcPr>
          <w:p>
            <w:pPr>
              <w:spacing w:line="440" w:lineRule="exact"/>
              <w:jc w:val="both"/>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676" w:type="dxa"/>
            <w:vAlign w:val="center"/>
          </w:tcPr>
          <w:p>
            <w:pPr>
              <w:spacing w:line="440" w:lineRule="exact"/>
              <w:jc w:val="center"/>
              <w:rPr>
                <w:rFonts w:ascii="Times New Roman" w:hAnsi="Times New Roman"/>
                <w:highlight w:val="none"/>
              </w:rPr>
            </w:pPr>
            <w:r>
              <w:rPr>
                <w:rFonts w:hint="eastAsia" w:ascii="Times New Roman" w:hAnsi="Times New Roman"/>
                <w:highlight w:val="none"/>
              </w:rPr>
              <w:t>(5)</w:t>
            </w:r>
          </w:p>
        </w:tc>
        <w:tc>
          <w:tcPr>
            <w:tcW w:w="5137" w:type="dxa"/>
            <w:vAlign w:val="center"/>
          </w:tcPr>
          <w:p>
            <w:pPr>
              <w:spacing w:line="240" w:lineRule="atLeast"/>
              <w:jc w:val="both"/>
              <w:rPr>
                <w:rFonts w:ascii="Times New Roman" w:hAnsi="Times New Roman"/>
                <w:szCs w:val="21"/>
                <w:highlight w:val="none"/>
              </w:rPr>
            </w:pPr>
            <w:r>
              <w:rPr>
                <w:rFonts w:ascii="Times New Roman" w:hAnsi="Times New Roman"/>
                <w:szCs w:val="21"/>
                <w:highlight w:val="none"/>
              </w:rPr>
              <w:t>为本招标项目提供过设计、编制技术规范和其他文件的咨询服务</w:t>
            </w:r>
          </w:p>
        </w:tc>
        <w:tc>
          <w:tcPr>
            <w:tcW w:w="2906" w:type="dxa"/>
          </w:tcPr>
          <w:p>
            <w:pPr>
              <w:spacing w:line="440" w:lineRule="exact"/>
              <w:jc w:val="both"/>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676" w:type="dxa"/>
            <w:vAlign w:val="center"/>
          </w:tcPr>
          <w:p>
            <w:pPr>
              <w:spacing w:line="440" w:lineRule="exact"/>
              <w:jc w:val="center"/>
              <w:rPr>
                <w:rFonts w:ascii="Times New Roman" w:hAnsi="Times New Roman"/>
                <w:highlight w:val="none"/>
              </w:rPr>
            </w:pPr>
            <w:r>
              <w:rPr>
                <w:rFonts w:hint="eastAsia" w:ascii="Times New Roman" w:hAnsi="Times New Roman"/>
                <w:highlight w:val="none"/>
              </w:rPr>
              <w:t>(6)</w:t>
            </w:r>
          </w:p>
        </w:tc>
        <w:tc>
          <w:tcPr>
            <w:tcW w:w="5137" w:type="dxa"/>
            <w:vAlign w:val="center"/>
          </w:tcPr>
          <w:p>
            <w:pPr>
              <w:spacing w:line="240" w:lineRule="atLeast"/>
              <w:jc w:val="both"/>
              <w:rPr>
                <w:rFonts w:ascii="Times New Roman" w:hAnsi="Times New Roman"/>
                <w:szCs w:val="21"/>
                <w:highlight w:val="none"/>
              </w:rPr>
            </w:pPr>
            <w:r>
              <w:rPr>
                <w:rFonts w:ascii="Times New Roman" w:hAnsi="Times New Roman"/>
                <w:szCs w:val="21"/>
                <w:highlight w:val="none"/>
              </w:rPr>
              <w:t>为本工程项目的相关监理人，或者与本工程项目的相关监理人存在隶属关系或者其他利害关系</w:t>
            </w:r>
          </w:p>
        </w:tc>
        <w:tc>
          <w:tcPr>
            <w:tcW w:w="2906" w:type="dxa"/>
          </w:tcPr>
          <w:p>
            <w:pPr>
              <w:spacing w:line="440" w:lineRule="exact"/>
              <w:jc w:val="both"/>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676" w:type="dxa"/>
            <w:vAlign w:val="center"/>
          </w:tcPr>
          <w:p>
            <w:pPr>
              <w:spacing w:line="440" w:lineRule="exact"/>
              <w:jc w:val="center"/>
              <w:rPr>
                <w:rFonts w:ascii="Times New Roman" w:hAnsi="Times New Roman"/>
                <w:highlight w:val="none"/>
              </w:rPr>
            </w:pPr>
            <w:r>
              <w:rPr>
                <w:rFonts w:hint="eastAsia" w:ascii="Times New Roman" w:hAnsi="Times New Roman"/>
                <w:highlight w:val="none"/>
              </w:rPr>
              <w:t>(7)</w:t>
            </w:r>
          </w:p>
        </w:tc>
        <w:tc>
          <w:tcPr>
            <w:tcW w:w="5137" w:type="dxa"/>
            <w:vAlign w:val="center"/>
          </w:tcPr>
          <w:p>
            <w:pPr>
              <w:spacing w:line="240" w:lineRule="atLeast"/>
              <w:jc w:val="both"/>
              <w:rPr>
                <w:rFonts w:ascii="Times New Roman" w:hAnsi="Times New Roman"/>
                <w:szCs w:val="21"/>
                <w:highlight w:val="none"/>
              </w:rPr>
            </w:pPr>
            <w:r>
              <w:rPr>
                <w:rFonts w:ascii="Times New Roman" w:hAnsi="Times New Roman"/>
                <w:szCs w:val="21"/>
                <w:highlight w:val="none"/>
              </w:rPr>
              <w:t>为本招标项目的代建人</w:t>
            </w:r>
          </w:p>
        </w:tc>
        <w:tc>
          <w:tcPr>
            <w:tcW w:w="2906" w:type="dxa"/>
          </w:tcPr>
          <w:p>
            <w:pPr>
              <w:spacing w:line="440" w:lineRule="exact"/>
              <w:jc w:val="both"/>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676" w:type="dxa"/>
            <w:vAlign w:val="center"/>
          </w:tcPr>
          <w:p>
            <w:pPr>
              <w:spacing w:line="440" w:lineRule="exact"/>
              <w:jc w:val="center"/>
              <w:rPr>
                <w:rFonts w:ascii="Times New Roman" w:hAnsi="Times New Roman"/>
                <w:highlight w:val="none"/>
              </w:rPr>
            </w:pPr>
            <w:r>
              <w:rPr>
                <w:rFonts w:hint="eastAsia" w:ascii="Times New Roman" w:hAnsi="Times New Roman"/>
                <w:highlight w:val="none"/>
              </w:rPr>
              <w:t>(8)</w:t>
            </w:r>
          </w:p>
        </w:tc>
        <w:tc>
          <w:tcPr>
            <w:tcW w:w="5137" w:type="dxa"/>
            <w:vAlign w:val="center"/>
          </w:tcPr>
          <w:p>
            <w:pPr>
              <w:spacing w:line="240" w:lineRule="atLeast"/>
              <w:jc w:val="both"/>
              <w:rPr>
                <w:rFonts w:ascii="Times New Roman" w:hAnsi="Times New Roman"/>
                <w:szCs w:val="21"/>
                <w:highlight w:val="none"/>
              </w:rPr>
            </w:pPr>
            <w:r>
              <w:rPr>
                <w:rFonts w:ascii="Times New Roman" w:hAnsi="Times New Roman"/>
                <w:szCs w:val="21"/>
                <w:highlight w:val="none"/>
              </w:rPr>
              <w:t>为本招标项目的招标代理机构</w:t>
            </w:r>
          </w:p>
        </w:tc>
        <w:tc>
          <w:tcPr>
            <w:tcW w:w="2906" w:type="dxa"/>
          </w:tcPr>
          <w:p>
            <w:pPr>
              <w:spacing w:line="440" w:lineRule="exact"/>
              <w:jc w:val="both"/>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676" w:type="dxa"/>
            <w:vAlign w:val="center"/>
          </w:tcPr>
          <w:p>
            <w:pPr>
              <w:spacing w:line="440" w:lineRule="exact"/>
              <w:jc w:val="center"/>
              <w:rPr>
                <w:rFonts w:ascii="Times New Roman" w:hAnsi="Times New Roman"/>
                <w:highlight w:val="none"/>
              </w:rPr>
            </w:pPr>
            <w:r>
              <w:rPr>
                <w:rFonts w:hint="eastAsia" w:ascii="Times New Roman" w:hAnsi="Times New Roman"/>
                <w:highlight w:val="none"/>
              </w:rPr>
              <w:t>(9)</w:t>
            </w:r>
          </w:p>
        </w:tc>
        <w:tc>
          <w:tcPr>
            <w:tcW w:w="5137" w:type="dxa"/>
            <w:vAlign w:val="center"/>
          </w:tcPr>
          <w:p>
            <w:pPr>
              <w:spacing w:line="240" w:lineRule="atLeast"/>
              <w:jc w:val="both"/>
              <w:rPr>
                <w:rFonts w:ascii="Times New Roman" w:hAnsi="Times New Roman"/>
                <w:szCs w:val="21"/>
                <w:highlight w:val="none"/>
              </w:rPr>
            </w:pPr>
            <w:r>
              <w:rPr>
                <w:rFonts w:ascii="Times New Roman" w:hAnsi="Times New Roman"/>
                <w:szCs w:val="21"/>
                <w:highlight w:val="none"/>
              </w:rPr>
              <w:t>与本招标项目的监理人或代建人或招标代理机构同为一个法定代表人</w:t>
            </w:r>
          </w:p>
        </w:tc>
        <w:tc>
          <w:tcPr>
            <w:tcW w:w="2906" w:type="dxa"/>
          </w:tcPr>
          <w:p>
            <w:pPr>
              <w:spacing w:line="440" w:lineRule="exact"/>
              <w:jc w:val="both"/>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676" w:type="dxa"/>
            <w:vAlign w:val="center"/>
          </w:tcPr>
          <w:p>
            <w:pPr>
              <w:spacing w:line="440" w:lineRule="exact"/>
              <w:jc w:val="center"/>
              <w:rPr>
                <w:rFonts w:ascii="Times New Roman" w:hAnsi="Times New Roman"/>
                <w:highlight w:val="none"/>
              </w:rPr>
            </w:pPr>
            <w:r>
              <w:rPr>
                <w:rFonts w:hint="eastAsia" w:ascii="Times New Roman" w:hAnsi="Times New Roman"/>
                <w:highlight w:val="none"/>
              </w:rPr>
              <w:t>(10)</w:t>
            </w:r>
          </w:p>
        </w:tc>
        <w:tc>
          <w:tcPr>
            <w:tcW w:w="5137" w:type="dxa"/>
            <w:vAlign w:val="center"/>
          </w:tcPr>
          <w:p>
            <w:pPr>
              <w:spacing w:line="240" w:lineRule="atLeast"/>
              <w:jc w:val="both"/>
              <w:rPr>
                <w:rFonts w:ascii="Times New Roman" w:hAnsi="Times New Roman"/>
                <w:szCs w:val="21"/>
                <w:highlight w:val="none"/>
              </w:rPr>
            </w:pPr>
            <w:r>
              <w:rPr>
                <w:rFonts w:ascii="Times New Roman" w:hAnsi="Times New Roman"/>
                <w:szCs w:val="21"/>
                <w:highlight w:val="none"/>
              </w:rPr>
              <w:t>与本招标项目的监理人或代建人或招标代理机构存在控股或参股关系</w:t>
            </w:r>
          </w:p>
        </w:tc>
        <w:tc>
          <w:tcPr>
            <w:tcW w:w="2906" w:type="dxa"/>
          </w:tcPr>
          <w:p>
            <w:pPr>
              <w:spacing w:line="440" w:lineRule="exact"/>
              <w:jc w:val="both"/>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676" w:type="dxa"/>
            <w:vAlign w:val="center"/>
          </w:tcPr>
          <w:p>
            <w:pPr>
              <w:spacing w:line="440" w:lineRule="exact"/>
              <w:jc w:val="center"/>
              <w:rPr>
                <w:rFonts w:ascii="Times New Roman" w:hAnsi="Times New Roman"/>
                <w:highlight w:val="none"/>
              </w:rPr>
            </w:pPr>
            <w:r>
              <w:rPr>
                <w:rFonts w:hint="eastAsia" w:ascii="Times New Roman" w:hAnsi="Times New Roman"/>
                <w:highlight w:val="none"/>
              </w:rPr>
              <w:t>(11)</w:t>
            </w:r>
          </w:p>
        </w:tc>
        <w:tc>
          <w:tcPr>
            <w:tcW w:w="5137" w:type="dxa"/>
            <w:vAlign w:val="center"/>
          </w:tcPr>
          <w:p>
            <w:pPr>
              <w:spacing w:line="240" w:lineRule="atLeast"/>
              <w:jc w:val="both"/>
              <w:rPr>
                <w:rFonts w:ascii="Times New Roman" w:hAnsi="Times New Roman"/>
                <w:szCs w:val="21"/>
                <w:highlight w:val="none"/>
              </w:rPr>
            </w:pPr>
            <w:r>
              <w:rPr>
                <w:rFonts w:ascii="Times New Roman" w:hAnsi="Times New Roman"/>
                <w:szCs w:val="21"/>
                <w:highlight w:val="none"/>
              </w:rPr>
              <w:t>被依法暂停或者取消投标资格</w:t>
            </w:r>
          </w:p>
        </w:tc>
        <w:tc>
          <w:tcPr>
            <w:tcW w:w="2906" w:type="dxa"/>
          </w:tcPr>
          <w:p>
            <w:pPr>
              <w:spacing w:line="440" w:lineRule="exact"/>
              <w:jc w:val="both"/>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676" w:type="dxa"/>
            <w:vAlign w:val="center"/>
          </w:tcPr>
          <w:p>
            <w:pPr>
              <w:spacing w:line="240" w:lineRule="atLeast"/>
              <w:jc w:val="center"/>
              <w:rPr>
                <w:rFonts w:ascii="Times New Roman" w:hAnsi="Times New Roman"/>
                <w:szCs w:val="21"/>
                <w:highlight w:val="none"/>
              </w:rPr>
            </w:pPr>
            <w:r>
              <w:rPr>
                <w:rFonts w:hint="eastAsia" w:ascii="Times New Roman" w:hAnsi="Times New Roman"/>
                <w:szCs w:val="21"/>
                <w:highlight w:val="none"/>
              </w:rPr>
              <w:t>(12)</w:t>
            </w:r>
          </w:p>
        </w:tc>
        <w:tc>
          <w:tcPr>
            <w:tcW w:w="5137" w:type="dxa"/>
            <w:vAlign w:val="center"/>
          </w:tcPr>
          <w:p>
            <w:pPr>
              <w:spacing w:line="240" w:lineRule="atLeast"/>
              <w:jc w:val="both"/>
              <w:rPr>
                <w:rFonts w:ascii="Times New Roman" w:hAnsi="Times New Roman"/>
                <w:szCs w:val="21"/>
                <w:highlight w:val="none"/>
              </w:rPr>
            </w:pPr>
            <w:r>
              <w:rPr>
                <w:rFonts w:ascii="Times New Roman" w:hAnsi="Times New Roman"/>
                <w:szCs w:val="21"/>
                <w:highlight w:val="none"/>
              </w:rPr>
              <w:t>被责令停产停业、暂扣或者吊销许可证、暂扣或者吊销执照</w:t>
            </w:r>
          </w:p>
        </w:tc>
        <w:tc>
          <w:tcPr>
            <w:tcW w:w="2906" w:type="dxa"/>
          </w:tcPr>
          <w:p>
            <w:pPr>
              <w:spacing w:line="440" w:lineRule="exact"/>
              <w:jc w:val="both"/>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676" w:type="dxa"/>
            <w:vAlign w:val="center"/>
          </w:tcPr>
          <w:p>
            <w:pPr>
              <w:spacing w:line="240" w:lineRule="atLeast"/>
              <w:jc w:val="center"/>
              <w:rPr>
                <w:rFonts w:ascii="Times New Roman" w:hAnsi="Times New Roman"/>
                <w:szCs w:val="21"/>
                <w:highlight w:val="none"/>
              </w:rPr>
            </w:pPr>
            <w:r>
              <w:rPr>
                <w:rFonts w:hint="eastAsia" w:ascii="Times New Roman" w:hAnsi="Times New Roman"/>
                <w:szCs w:val="21"/>
                <w:highlight w:val="none"/>
              </w:rPr>
              <w:t>(13)</w:t>
            </w:r>
          </w:p>
        </w:tc>
        <w:tc>
          <w:tcPr>
            <w:tcW w:w="5137" w:type="dxa"/>
            <w:vAlign w:val="center"/>
          </w:tcPr>
          <w:p>
            <w:pPr>
              <w:spacing w:line="240" w:lineRule="atLeast"/>
              <w:jc w:val="both"/>
              <w:rPr>
                <w:rFonts w:ascii="Times New Roman" w:hAnsi="Times New Roman"/>
                <w:szCs w:val="21"/>
                <w:highlight w:val="none"/>
              </w:rPr>
            </w:pPr>
            <w:r>
              <w:rPr>
                <w:rFonts w:ascii="Times New Roman" w:hAnsi="Times New Roman"/>
                <w:szCs w:val="21"/>
                <w:highlight w:val="none"/>
              </w:rPr>
              <w:t>进入清算程序，或被宣告破产，或其他丧失履约能力的情形</w:t>
            </w:r>
          </w:p>
        </w:tc>
        <w:tc>
          <w:tcPr>
            <w:tcW w:w="2906" w:type="dxa"/>
          </w:tcPr>
          <w:p>
            <w:pPr>
              <w:spacing w:line="440" w:lineRule="exact"/>
              <w:jc w:val="both"/>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676" w:type="dxa"/>
            <w:vAlign w:val="center"/>
          </w:tcPr>
          <w:p>
            <w:pPr>
              <w:spacing w:line="240" w:lineRule="atLeast"/>
              <w:jc w:val="center"/>
              <w:rPr>
                <w:rFonts w:ascii="Times New Roman" w:hAnsi="Times New Roman"/>
                <w:szCs w:val="21"/>
                <w:highlight w:val="none"/>
              </w:rPr>
            </w:pPr>
            <w:r>
              <w:rPr>
                <w:rFonts w:hint="eastAsia" w:ascii="Times New Roman" w:hAnsi="Times New Roman"/>
                <w:szCs w:val="21"/>
                <w:highlight w:val="none"/>
              </w:rPr>
              <w:t>(14)</w:t>
            </w:r>
          </w:p>
        </w:tc>
        <w:tc>
          <w:tcPr>
            <w:tcW w:w="5137" w:type="dxa"/>
            <w:vAlign w:val="center"/>
          </w:tcPr>
          <w:p>
            <w:pPr>
              <w:spacing w:line="240" w:lineRule="atLeast"/>
              <w:jc w:val="both"/>
              <w:rPr>
                <w:rFonts w:ascii="Times New Roman" w:hAnsi="Times New Roman"/>
                <w:szCs w:val="21"/>
                <w:highlight w:val="none"/>
              </w:rPr>
            </w:pPr>
            <w:r>
              <w:rPr>
                <w:rFonts w:ascii="Times New Roman" w:hAnsi="Times New Roman"/>
                <w:szCs w:val="21"/>
                <w:highlight w:val="none"/>
              </w:rPr>
              <w:t>在最近三年内发生重大产品质量问题（以相关行业主管部门的行政处罚决定或司法机关出具的有关法律文书为准）</w:t>
            </w:r>
          </w:p>
        </w:tc>
        <w:tc>
          <w:tcPr>
            <w:tcW w:w="2906" w:type="dxa"/>
          </w:tcPr>
          <w:p>
            <w:pPr>
              <w:spacing w:line="440" w:lineRule="exact"/>
              <w:jc w:val="both"/>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676" w:type="dxa"/>
            <w:vAlign w:val="center"/>
          </w:tcPr>
          <w:p>
            <w:pPr>
              <w:spacing w:line="240" w:lineRule="atLeast"/>
              <w:jc w:val="center"/>
              <w:rPr>
                <w:rFonts w:ascii="Times New Roman" w:hAnsi="Times New Roman"/>
                <w:szCs w:val="21"/>
                <w:highlight w:val="none"/>
              </w:rPr>
            </w:pPr>
            <w:r>
              <w:rPr>
                <w:rFonts w:hint="eastAsia" w:ascii="Times New Roman" w:hAnsi="Times New Roman"/>
                <w:szCs w:val="21"/>
                <w:highlight w:val="none"/>
              </w:rPr>
              <w:t>(15)</w:t>
            </w:r>
          </w:p>
        </w:tc>
        <w:tc>
          <w:tcPr>
            <w:tcW w:w="5137" w:type="dxa"/>
            <w:vAlign w:val="center"/>
          </w:tcPr>
          <w:p>
            <w:pPr>
              <w:spacing w:line="240" w:lineRule="atLeast"/>
              <w:jc w:val="both"/>
              <w:rPr>
                <w:rFonts w:ascii="Times New Roman" w:hAnsi="Times New Roman"/>
                <w:szCs w:val="21"/>
                <w:highlight w:val="none"/>
              </w:rPr>
            </w:pPr>
            <w:r>
              <w:rPr>
                <w:rFonts w:hint="eastAsia" w:ascii="Times New Roman" w:hAnsi="Times New Roman"/>
                <w:szCs w:val="21"/>
                <w:highlight w:val="none"/>
              </w:rPr>
              <w:t>在国家企业信用信息公示系统（</w:t>
            </w:r>
            <w:r>
              <w:rPr>
                <w:rFonts w:ascii="Times New Roman" w:hAnsi="Times New Roman"/>
                <w:szCs w:val="21"/>
                <w:highlight w:val="none"/>
              </w:rPr>
              <w:t>www.gsxt.gov.cn</w:t>
            </w:r>
            <w:r>
              <w:rPr>
                <w:rFonts w:hint="eastAsia" w:ascii="Times New Roman" w:hAnsi="Times New Roman"/>
                <w:szCs w:val="21"/>
                <w:highlight w:val="none"/>
              </w:rPr>
              <w:t>）中被列入严重违法失信企业名单</w:t>
            </w:r>
          </w:p>
        </w:tc>
        <w:tc>
          <w:tcPr>
            <w:tcW w:w="2906" w:type="dxa"/>
          </w:tcPr>
          <w:p>
            <w:pPr>
              <w:spacing w:line="440" w:lineRule="exact"/>
              <w:jc w:val="both"/>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676" w:type="dxa"/>
            <w:vAlign w:val="center"/>
          </w:tcPr>
          <w:p>
            <w:pPr>
              <w:spacing w:line="240" w:lineRule="atLeast"/>
              <w:jc w:val="center"/>
              <w:rPr>
                <w:rFonts w:ascii="Times New Roman" w:hAnsi="Times New Roman"/>
                <w:szCs w:val="21"/>
                <w:highlight w:val="none"/>
              </w:rPr>
            </w:pPr>
            <w:r>
              <w:rPr>
                <w:rFonts w:hint="eastAsia" w:ascii="Times New Roman" w:hAnsi="Times New Roman"/>
                <w:szCs w:val="21"/>
                <w:highlight w:val="none"/>
              </w:rPr>
              <w:t>(16)</w:t>
            </w:r>
          </w:p>
        </w:tc>
        <w:tc>
          <w:tcPr>
            <w:tcW w:w="5137" w:type="dxa"/>
            <w:vAlign w:val="center"/>
          </w:tcPr>
          <w:p>
            <w:pPr>
              <w:spacing w:line="240" w:lineRule="atLeast"/>
              <w:jc w:val="both"/>
              <w:rPr>
                <w:rFonts w:ascii="Times New Roman" w:hAnsi="Times New Roman"/>
                <w:szCs w:val="21"/>
                <w:highlight w:val="none"/>
              </w:rPr>
            </w:pPr>
            <w:r>
              <w:rPr>
                <w:rFonts w:hint="eastAsia" w:ascii="Times New Roman" w:hAnsi="Times New Roman"/>
                <w:szCs w:val="21"/>
                <w:highlight w:val="none"/>
              </w:rPr>
              <w:t>在“信用中国”网站（www.creditchina.gov.cn）中被列入失信被执行人名单</w:t>
            </w:r>
          </w:p>
        </w:tc>
        <w:tc>
          <w:tcPr>
            <w:tcW w:w="2906" w:type="dxa"/>
          </w:tcPr>
          <w:p>
            <w:pPr>
              <w:spacing w:line="440" w:lineRule="exact"/>
              <w:jc w:val="both"/>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676" w:type="dxa"/>
            <w:vAlign w:val="center"/>
          </w:tcPr>
          <w:p>
            <w:pPr>
              <w:spacing w:line="440" w:lineRule="exact"/>
              <w:jc w:val="center"/>
              <w:rPr>
                <w:rFonts w:ascii="Times New Roman" w:hAnsi="Times New Roman"/>
                <w:highlight w:val="none"/>
              </w:rPr>
            </w:pPr>
            <w:r>
              <w:rPr>
                <w:rFonts w:hint="eastAsia" w:ascii="Times New Roman" w:hAnsi="Times New Roman"/>
                <w:highlight w:val="none"/>
              </w:rPr>
              <w:t>(17)</w:t>
            </w:r>
          </w:p>
        </w:tc>
        <w:tc>
          <w:tcPr>
            <w:tcW w:w="5137" w:type="dxa"/>
            <w:vAlign w:val="center"/>
          </w:tcPr>
          <w:p>
            <w:pPr>
              <w:spacing w:line="440" w:lineRule="exact"/>
              <w:jc w:val="both"/>
              <w:rPr>
                <w:rFonts w:ascii="Times New Roman" w:hAnsi="Times New Roman"/>
                <w:highlight w:val="none"/>
              </w:rPr>
            </w:pPr>
            <w:r>
              <w:rPr>
                <w:rFonts w:ascii="Times New Roman" w:hAnsi="Times New Roman"/>
                <w:szCs w:val="21"/>
                <w:highlight w:val="none"/>
              </w:rPr>
              <w:t>法律法规或投标人须知前附表规定的其他情形</w:t>
            </w:r>
          </w:p>
        </w:tc>
        <w:tc>
          <w:tcPr>
            <w:tcW w:w="2906" w:type="dxa"/>
          </w:tcPr>
          <w:p>
            <w:pPr>
              <w:spacing w:line="440" w:lineRule="exact"/>
              <w:jc w:val="both"/>
              <w:rPr>
                <w:rFonts w:ascii="Times New Roman" w:hAnsi="Times New Roman"/>
                <w:highlight w:val="none"/>
              </w:rPr>
            </w:pPr>
          </w:p>
        </w:tc>
      </w:tr>
    </w:tbl>
    <w:p>
      <w:pPr>
        <w:spacing w:line="440" w:lineRule="exact"/>
        <w:rPr>
          <w:rFonts w:ascii="Times New Roman" w:hAnsi="Times New Roman"/>
          <w:highlight w:val="none"/>
        </w:rPr>
      </w:pPr>
      <w:r>
        <w:rPr>
          <w:rFonts w:hint="eastAsia"/>
          <w:szCs w:val="21"/>
          <w:highlight w:val="none"/>
        </w:rPr>
        <w:t>注：如果在国家企业信用信息公示系统（</w:t>
      </w:r>
      <w:r>
        <w:rPr>
          <w:szCs w:val="21"/>
          <w:highlight w:val="none"/>
        </w:rPr>
        <w:t>http://</w:t>
      </w:r>
      <w:r>
        <w:rPr>
          <w:rFonts w:hint="eastAsia"/>
          <w:szCs w:val="21"/>
          <w:highlight w:val="none"/>
        </w:rPr>
        <w:t>www.gsxt.gov.cn/）中被列入严重违法失信企业名单；或在“信用中国”网站（</w:t>
      </w:r>
      <w:r>
        <w:rPr>
          <w:szCs w:val="21"/>
          <w:highlight w:val="none"/>
        </w:rPr>
        <w:t>http://www.creditchina.gov.cn/</w:t>
      </w:r>
      <w:r>
        <w:rPr>
          <w:rFonts w:hint="eastAsia"/>
          <w:szCs w:val="21"/>
          <w:highlight w:val="none"/>
        </w:rPr>
        <w:t>）中被列入失信被执行人名单的需另附该网页打印件</w:t>
      </w:r>
      <w:r>
        <w:rPr>
          <w:rFonts w:ascii="Times New Roman" w:hAnsi="Times New Roman"/>
          <w:highlight w:val="none"/>
        </w:rPr>
        <w:t>。</w:t>
      </w:r>
    </w:p>
    <w:p>
      <w:pPr>
        <w:rPr>
          <w:highlight w:val="none"/>
          <w:lang w:val="en-US"/>
        </w:rPr>
      </w:pPr>
      <w:r>
        <w:rPr>
          <w:rFonts w:hint="eastAsia"/>
          <w:highlight w:val="none"/>
          <w:lang w:val="en-US"/>
        </w:rPr>
        <w:br w:type="page"/>
      </w:r>
    </w:p>
    <w:p>
      <w:pPr>
        <w:pStyle w:val="4"/>
        <w:spacing w:line="525" w:lineRule="exact"/>
        <w:ind w:left="0" w:right="301" w:firstLine="0"/>
        <w:jc w:val="center"/>
        <w:rPr>
          <w:highlight w:val="none"/>
        </w:rPr>
      </w:pPr>
      <w:bookmarkStart w:id="246" w:name="_Toc18493"/>
      <w:r>
        <w:rPr>
          <w:rFonts w:hint="eastAsia" w:ascii="宋体" w:hAnsi="宋体" w:eastAsia="宋体" w:cs="宋体"/>
          <w:highlight w:val="none"/>
        </w:rPr>
        <w:t>六、</w:t>
      </w:r>
      <w:bookmarkEnd w:id="245"/>
      <w:r>
        <w:rPr>
          <w:rFonts w:hint="eastAsia" w:ascii="宋体" w:hAnsi="宋体" w:eastAsia="宋体" w:cs="宋体"/>
          <w:highlight w:val="none"/>
          <w:lang w:val="en-US"/>
        </w:rPr>
        <w:t>运输计划</w:t>
      </w:r>
      <w:r>
        <w:rPr>
          <w:rFonts w:hint="eastAsia" w:ascii="宋体" w:hAnsi="宋体" w:eastAsia="宋体" w:cs="宋体"/>
          <w:highlight w:val="none"/>
        </w:rPr>
        <w:t>方案</w:t>
      </w:r>
      <w:bookmarkEnd w:id="246"/>
    </w:p>
    <w:p>
      <w:pPr>
        <w:spacing w:line="525" w:lineRule="exact"/>
        <w:jc w:val="center"/>
        <w:rPr>
          <w:highlight w:val="none"/>
        </w:rPr>
      </w:pPr>
    </w:p>
    <w:p>
      <w:pPr>
        <w:autoSpaceDE/>
        <w:autoSpaceDN/>
        <w:spacing w:line="440" w:lineRule="exact"/>
        <w:ind w:firstLine="560" w:firstLineChars="200"/>
        <w:rPr>
          <w:rFonts w:asciiTheme="minorEastAsia" w:hAnsiTheme="minorEastAsia" w:eastAsiaTheme="minorEastAsia" w:cstheme="minorEastAsia"/>
          <w:sz w:val="28"/>
          <w:szCs w:val="28"/>
          <w:highlight w:val="none"/>
          <w:lang w:val="en-US"/>
        </w:rPr>
      </w:pPr>
    </w:p>
    <w:p>
      <w:pPr>
        <w:widowControl/>
        <w:spacing w:line="600" w:lineRule="auto"/>
        <w:ind w:firstLine="440" w:firstLineChars="200"/>
        <w:rPr>
          <w:color w:val="000000"/>
          <w:highlight w:val="none"/>
          <w:lang w:val="en-US"/>
        </w:rPr>
      </w:pPr>
      <w:r>
        <w:rPr>
          <w:rFonts w:hint="eastAsia"/>
          <w:color w:val="000000"/>
          <w:highlight w:val="none"/>
          <w:lang w:val="en-US"/>
        </w:rPr>
        <w:t>要求根据本项目所处的地理位置、环境、气候、交通和工期等情况，编制切实可行的运输计划方案，应包含以下内容：</w:t>
      </w:r>
    </w:p>
    <w:p>
      <w:pPr>
        <w:widowControl/>
        <w:spacing w:line="600" w:lineRule="auto"/>
        <w:ind w:firstLine="440" w:firstLineChars="200"/>
        <w:rPr>
          <w:color w:val="000000"/>
          <w:highlight w:val="none"/>
          <w:lang w:val="en-US"/>
        </w:rPr>
      </w:pPr>
      <w:r>
        <w:rPr>
          <w:rFonts w:hint="eastAsia"/>
          <w:color w:val="000000"/>
          <w:highlight w:val="none"/>
          <w:lang w:val="en-US"/>
        </w:rPr>
        <w:t>一、 运输实施方案</w:t>
      </w:r>
    </w:p>
    <w:p>
      <w:pPr>
        <w:widowControl/>
        <w:spacing w:line="600" w:lineRule="auto"/>
        <w:ind w:firstLine="440" w:firstLineChars="200"/>
        <w:rPr>
          <w:color w:val="000000"/>
          <w:highlight w:val="none"/>
          <w:lang w:val="en-US"/>
        </w:rPr>
      </w:pPr>
      <w:r>
        <w:rPr>
          <w:rFonts w:hint="eastAsia"/>
          <w:color w:val="000000"/>
          <w:highlight w:val="none"/>
          <w:lang w:val="en-US"/>
        </w:rPr>
        <w:t>二、 对物资报关程序、运输计划、装卸、应急处理等进行详细描述。</w:t>
      </w:r>
    </w:p>
    <w:p>
      <w:pPr>
        <w:widowControl/>
        <w:spacing w:line="600" w:lineRule="auto"/>
        <w:rPr>
          <w:color w:val="000000"/>
          <w:sz w:val="24"/>
          <w:szCs w:val="24"/>
          <w:highlight w:val="none"/>
          <w:lang w:val="en-US"/>
        </w:rPr>
      </w:pPr>
      <w:r>
        <w:rPr>
          <w:rFonts w:hint="eastAsia"/>
          <w:color w:val="000000"/>
          <w:sz w:val="24"/>
          <w:szCs w:val="24"/>
          <w:highlight w:val="none"/>
          <w:lang w:val="en-US"/>
        </w:rPr>
        <w:br w:type="page"/>
      </w:r>
    </w:p>
    <w:p>
      <w:pPr>
        <w:pStyle w:val="4"/>
        <w:spacing w:line="525" w:lineRule="exact"/>
        <w:ind w:left="0" w:right="297" w:firstLine="0"/>
        <w:jc w:val="center"/>
        <w:rPr>
          <w:rFonts w:eastAsia="宋体"/>
          <w:highlight w:val="none"/>
          <w:lang w:val="en-US"/>
        </w:rPr>
      </w:pPr>
      <w:bookmarkStart w:id="247" w:name="_Toc23634"/>
      <w:r>
        <w:rPr>
          <w:rFonts w:hint="eastAsia" w:eastAsia="宋体"/>
          <w:highlight w:val="none"/>
          <w:lang w:val="en-US"/>
        </w:rPr>
        <w:t>七、承诺函</w:t>
      </w:r>
      <w:bookmarkEnd w:id="247"/>
      <w:r>
        <w:rPr>
          <w:rFonts w:hint="eastAsia" w:eastAsia="宋体"/>
          <w:highlight w:val="none"/>
          <w:lang w:val="en-US"/>
        </w:rPr>
        <w:t xml:space="preserve"> </w:t>
      </w:r>
    </w:p>
    <w:p>
      <w:pPr>
        <w:rPr>
          <w:highlight w:val="none"/>
          <w:lang w:val="en-US"/>
        </w:rPr>
      </w:pPr>
    </w:p>
    <w:p>
      <w:pPr>
        <w:widowControl/>
        <w:spacing w:line="600" w:lineRule="auto"/>
        <w:rPr>
          <w:sz w:val="21"/>
          <w:szCs w:val="21"/>
          <w:highlight w:val="none"/>
        </w:rPr>
      </w:pPr>
      <w:r>
        <w:rPr>
          <w:rFonts w:hint="eastAsia"/>
          <w:color w:val="000000"/>
          <w:highlight w:val="none"/>
          <w:lang w:val="en-US"/>
        </w:rPr>
        <w:t xml:space="preserve">贵州交投商贸物流有限公司： </w:t>
      </w:r>
    </w:p>
    <w:p>
      <w:pPr>
        <w:widowControl/>
        <w:spacing w:line="600" w:lineRule="auto"/>
        <w:ind w:firstLine="440" w:firstLineChars="200"/>
        <w:rPr>
          <w:sz w:val="21"/>
          <w:szCs w:val="21"/>
          <w:highlight w:val="none"/>
        </w:rPr>
      </w:pPr>
      <w:r>
        <w:rPr>
          <w:rFonts w:hint="eastAsia"/>
          <w:color w:val="000000"/>
          <w:highlight w:val="none"/>
          <w:lang w:val="en-US"/>
        </w:rPr>
        <w:t>我方参加了</w:t>
      </w:r>
      <w:r>
        <w:rPr>
          <w:rFonts w:hint="eastAsia"/>
          <w:color w:val="000000"/>
          <w:highlight w:val="none"/>
          <w:u w:val="single"/>
          <w:lang w:val="en-US"/>
        </w:rPr>
        <w:t xml:space="preserve">          </w:t>
      </w:r>
      <w:r>
        <w:rPr>
          <w:rFonts w:hint="eastAsia"/>
          <w:color w:val="000000"/>
          <w:highlight w:val="none"/>
          <w:lang w:val="en-US"/>
        </w:rPr>
        <w:t xml:space="preserve">项目投标，若我方中标，我方在此承诺： </w:t>
      </w:r>
    </w:p>
    <w:p>
      <w:pPr>
        <w:keepNext w:val="0"/>
        <w:keepLines w:val="0"/>
        <w:pageBreakBefore w:val="0"/>
        <w:widowControl/>
        <w:kinsoku/>
        <w:wordWrap/>
        <w:overflowPunct/>
        <w:topLinePunct w:val="0"/>
        <w:autoSpaceDE w:val="0"/>
        <w:autoSpaceDN w:val="0"/>
        <w:bidi w:val="0"/>
        <w:adjustRightInd/>
        <w:snapToGrid/>
        <w:spacing w:line="600" w:lineRule="auto"/>
        <w:ind w:right="-110" w:rightChars="-50" w:firstLine="440" w:firstLineChars="200"/>
        <w:textAlignment w:val="auto"/>
        <w:rPr>
          <w:sz w:val="21"/>
          <w:szCs w:val="21"/>
          <w:highlight w:val="none"/>
        </w:rPr>
      </w:pPr>
      <w:r>
        <w:rPr>
          <w:rFonts w:hint="eastAsia"/>
          <w:color w:val="000000"/>
          <w:highlight w:val="none"/>
          <w:lang w:val="en-US"/>
        </w:rPr>
        <w:t xml:space="preserve">我方已知悉本项目招标文件中的各项要求，我方将严格按照招标文件及招标人要求的时间、地点及时、安全地运输，保证运输服务满足招标文件的各项要求。 </w:t>
      </w:r>
    </w:p>
    <w:p>
      <w:pPr>
        <w:widowControl/>
        <w:spacing w:line="600" w:lineRule="auto"/>
        <w:ind w:firstLine="440" w:firstLineChars="200"/>
        <w:rPr>
          <w:color w:val="000000"/>
          <w:highlight w:val="none"/>
          <w:lang w:val="en-US"/>
        </w:rPr>
      </w:pPr>
      <w:r>
        <w:rPr>
          <w:rFonts w:hint="eastAsia"/>
          <w:color w:val="000000"/>
          <w:highlight w:val="none"/>
          <w:lang w:val="en-US"/>
        </w:rPr>
        <w:t>如我方违背了上述承诺，本项目招标人有权按照相关管理办法对我方进行违约处理，或取消我方的中标资格。</w:t>
      </w:r>
    </w:p>
    <w:p>
      <w:pPr>
        <w:widowControl/>
        <w:spacing w:line="360" w:lineRule="auto"/>
        <w:jc w:val="right"/>
        <w:rPr>
          <w:color w:val="000000"/>
          <w:sz w:val="24"/>
          <w:szCs w:val="24"/>
          <w:highlight w:val="none"/>
          <w:lang w:val="en-US"/>
        </w:rPr>
      </w:pPr>
    </w:p>
    <w:p>
      <w:pPr>
        <w:widowControl/>
        <w:spacing w:line="360" w:lineRule="auto"/>
        <w:jc w:val="right"/>
        <w:rPr>
          <w:color w:val="000000"/>
          <w:sz w:val="24"/>
          <w:szCs w:val="24"/>
          <w:highlight w:val="none"/>
          <w:lang w:val="en-US"/>
        </w:rPr>
      </w:pPr>
    </w:p>
    <w:p>
      <w:pPr>
        <w:widowControl/>
        <w:spacing w:line="360" w:lineRule="auto"/>
        <w:jc w:val="right"/>
        <w:rPr>
          <w:sz w:val="21"/>
          <w:szCs w:val="21"/>
          <w:highlight w:val="none"/>
        </w:rPr>
      </w:pPr>
      <w:r>
        <w:rPr>
          <w:rFonts w:hint="eastAsia"/>
          <w:color w:val="000000"/>
          <w:highlight w:val="none"/>
          <w:lang w:val="en-US"/>
        </w:rPr>
        <w:t xml:space="preserve">投标人： (盖章) </w:t>
      </w:r>
    </w:p>
    <w:p>
      <w:pPr>
        <w:widowControl/>
        <w:spacing w:line="360" w:lineRule="auto"/>
        <w:jc w:val="right"/>
        <w:rPr>
          <w:sz w:val="21"/>
          <w:szCs w:val="21"/>
          <w:highlight w:val="none"/>
        </w:rPr>
      </w:pPr>
      <w:r>
        <w:rPr>
          <w:rFonts w:hint="eastAsia"/>
          <w:color w:val="000000"/>
          <w:highlight w:val="none"/>
          <w:lang w:val="en-US"/>
        </w:rPr>
        <w:t xml:space="preserve">法定代表人或其委托代理人： （签名） </w:t>
      </w:r>
    </w:p>
    <w:p>
      <w:pPr>
        <w:widowControl/>
        <w:spacing w:line="360" w:lineRule="auto"/>
        <w:jc w:val="right"/>
        <w:rPr>
          <w:sz w:val="21"/>
          <w:szCs w:val="21"/>
          <w:highlight w:val="none"/>
          <w:lang w:val="en-US"/>
        </w:rPr>
      </w:pPr>
      <w:r>
        <w:rPr>
          <w:rFonts w:hint="eastAsia"/>
          <w:color w:val="000000"/>
          <w:highlight w:val="none"/>
          <w:lang w:val="en-US"/>
        </w:rPr>
        <w:t>年 月 日</w:t>
      </w:r>
    </w:p>
    <w:p>
      <w:pPr>
        <w:spacing w:line="525" w:lineRule="exact"/>
        <w:jc w:val="center"/>
        <w:rPr>
          <w:highlight w:val="none"/>
        </w:rPr>
      </w:pPr>
    </w:p>
    <w:p>
      <w:pPr>
        <w:spacing w:line="525" w:lineRule="exact"/>
        <w:jc w:val="center"/>
        <w:rPr>
          <w:highlight w:val="none"/>
        </w:rPr>
        <w:sectPr>
          <w:pgSz w:w="12240" w:h="15840"/>
          <w:pgMar w:top="1400" w:right="1100" w:bottom="1120" w:left="1400" w:header="0" w:footer="841" w:gutter="0"/>
          <w:cols w:space="720" w:num="1"/>
        </w:sectPr>
      </w:pPr>
    </w:p>
    <w:p>
      <w:pPr>
        <w:pStyle w:val="4"/>
        <w:spacing w:line="525" w:lineRule="exact"/>
        <w:ind w:left="0" w:right="297" w:firstLine="0"/>
        <w:jc w:val="center"/>
        <w:rPr>
          <w:highlight w:val="none"/>
        </w:rPr>
      </w:pPr>
      <w:bookmarkStart w:id="248" w:name="_Toc12772"/>
      <w:bookmarkStart w:id="249" w:name="_Toc28296"/>
      <w:r>
        <w:rPr>
          <w:rFonts w:hint="eastAsia" w:eastAsia="宋体"/>
          <w:highlight w:val="none"/>
        </w:rPr>
        <w:t>八</w:t>
      </w:r>
      <w:r>
        <w:rPr>
          <w:highlight w:val="none"/>
        </w:rPr>
        <w:t>、其他资料</w:t>
      </w:r>
      <w:bookmarkEnd w:id="248"/>
      <w:bookmarkEnd w:id="249"/>
    </w:p>
    <w:p>
      <w:pPr>
        <w:pStyle w:val="4"/>
        <w:spacing w:line="525" w:lineRule="exact"/>
        <w:ind w:left="0" w:right="297" w:firstLine="0"/>
        <w:jc w:val="center"/>
        <w:rPr>
          <w:rFonts w:eastAsia="宋体"/>
          <w:sz w:val="36"/>
          <w:szCs w:val="36"/>
          <w:highlight w:val="none"/>
          <w:lang w:val="en-US"/>
        </w:rPr>
        <w:sectPr>
          <w:pgSz w:w="12240" w:h="15840"/>
          <w:pgMar w:top="1400" w:right="1100" w:bottom="1120" w:left="1400" w:header="0" w:footer="841" w:gutter="0"/>
          <w:cols w:space="720" w:num="1"/>
        </w:sectPr>
      </w:pPr>
      <w:bookmarkStart w:id="250" w:name="_Toc14075"/>
    </w:p>
    <w:p>
      <w:pPr>
        <w:pStyle w:val="4"/>
        <w:spacing w:line="525" w:lineRule="exact"/>
        <w:ind w:left="0" w:right="297" w:firstLine="0"/>
        <w:jc w:val="center"/>
        <w:rPr>
          <w:rFonts w:eastAsia="宋体"/>
          <w:sz w:val="36"/>
          <w:szCs w:val="36"/>
          <w:highlight w:val="none"/>
          <w:lang w:val="en-US"/>
        </w:rPr>
      </w:pPr>
      <w:bookmarkStart w:id="251" w:name="_Toc2605"/>
      <w:r>
        <w:rPr>
          <w:rFonts w:hint="eastAsia" w:eastAsia="宋体"/>
          <w:sz w:val="36"/>
          <w:szCs w:val="36"/>
          <w:highlight w:val="none"/>
          <w:lang w:val="en-US"/>
        </w:rPr>
        <w:t>第二信封</w:t>
      </w:r>
      <w:bookmarkEnd w:id="251"/>
    </w:p>
    <w:p>
      <w:pPr>
        <w:pStyle w:val="4"/>
        <w:spacing w:line="525" w:lineRule="exact"/>
        <w:ind w:left="2310" w:firstLine="0"/>
        <w:rPr>
          <w:rFonts w:asciiTheme="minorEastAsia" w:hAnsiTheme="minorEastAsia" w:eastAsiaTheme="minorEastAsia" w:cstheme="minorEastAsia"/>
          <w:b w:val="0"/>
          <w:highlight w:val="none"/>
        </w:rPr>
        <w:sectPr>
          <w:footerReference r:id="rId6" w:type="default"/>
          <w:pgSz w:w="12240" w:h="15840"/>
          <w:pgMar w:top="1400" w:right="1100" w:bottom="1120" w:left="1400" w:header="0" w:footer="841" w:gutter="0"/>
          <w:cols w:space="720" w:num="1"/>
        </w:sectPr>
      </w:pPr>
    </w:p>
    <w:p>
      <w:pPr>
        <w:pStyle w:val="4"/>
        <w:numPr>
          <w:ilvl w:val="0"/>
          <w:numId w:val="24"/>
        </w:numPr>
        <w:jc w:val="center"/>
      </w:pPr>
      <w:bookmarkStart w:id="252" w:name="_Toc2825"/>
      <w:r>
        <w:rPr>
          <w:rFonts w:hint="eastAsia" w:asciiTheme="minorEastAsia" w:hAnsiTheme="minorEastAsia" w:eastAsiaTheme="minorEastAsia" w:cstheme="minorEastAsia"/>
          <w:b w:val="0"/>
          <w:highlight w:val="none"/>
        </w:rPr>
        <w:t>报价函</w:t>
      </w:r>
      <w:bookmarkEnd w:id="252"/>
    </w:p>
    <w:p>
      <w:pPr>
        <w:rPr>
          <w:sz w:val="21"/>
          <w:szCs w:val="21"/>
          <w:highlight w:val="none"/>
        </w:rPr>
      </w:pPr>
    </w:p>
    <w:p>
      <w:pPr>
        <w:adjustRightInd w:val="0"/>
        <w:spacing w:line="480" w:lineRule="auto"/>
        <w:rPr>
          <w:rFonts w:hint="eastAsia"/>
          <w:sz w:val="22"/>
          <w:szCs w:val="22"/>
          <w:highlight w:val="none"/>
          <w:u w:val="single"/>
        </w:rPr>
      </w:pPr>
    </w:p>
    <w:p>
      <w:pPr>
        <w:adjustRightInd w:val="0"/>
        <w:spacing w:line="480" w:lineRule="auto"/>
        <w:rPr>
          <w:rFonts w:hint="eastAsia"/>
          <w:sz w:val="22"/>
          <w:szCs w:val="22"/>
          <w:highlight w:val="none"/>
        </w:rPr>
      </w:pPr>
      <w:r>
        <w:rPr>
          <w:rFonts w:hint="eastAsia"/>
          <w:sz w:val="22"/>
          <w:szCs w:val="22"/>
          <w:highlight w:val="none"/>
          <w:u w:val="single"/>
        </w:rPr>
        <w:t xml:space="preserve">                </w:t>
      </w:r>
      <w:r>
        <w:rPr>
          <w:rFonts w:hint="eastAsia"/>
          <w:sz w:val="22"/>
          <w:szCs w:val="22"/>
          <w:highlight w:val="none"/>
        </w:rPr>
        <w:t>（招标人名称）：</w:t>
      </w:r>
    </w:p>
    <w:p>
      <w:pPr>
        <w:pStyle w:val="2"/>
      </w:pPr>
    </w:p>
    <w:p>
      <w:pPr>
        <w:keepNext w:val="0"/>
        <w:keepLines w:val="0"/>
        <w:pageBreakBefore w:val="0"/>
        <w:widowControl w:val="0"/>
        <w:numPr>
          <w:numId w:val="0"/>
        </w:numPr>
        <w:kinsoku/>
        <w:wordWrap/>
        <w:overflowPunct/>
        <w:topLinePunct w:val="0"/>
        <w:autoSpaceDE w:val="0"/>
        <w:autoSpaceDN w:val="0"/>
        <w:bidi w:val="0"/>
        <w:adjustRightInd w:val="0"/>
        <w:snapToGrid/>
        <w:spacing w:line="600" w:lineRule="auto"/>
        <w:ind w:left="0" w:leftChars="0" w:firstLine="440" w:firstLineChars="200"/>
        <w:textAlignment w:val="auto"/>
        <w:rPr>
          <w:rFonts w:hint="eastAsia"/>
          <w:sz w:val="22"/>
          <w:szCs w:val="22"/>
          <w:highlight w:val="none"/>
        </w:rPr>
      </w:pPr>
      <w:r>
        <w:rPr>
          <w:rFonts w:hint="eastAsia"/>
          <w:sz w:val="22"/>
          <w:szCs w:val="22"/>
          <w:highlight w:val="none"/>
        </w:rPr>
        <w:t>我方已仔细研究了</w:t>
      </w:r>
      <w:r>
        <w:rPr>
          <w:rFonts w:hint="eastAsia"/>
          <w:sz w:val="22"/>
          <w:szCs w:val="22"/>
          <w:highlight w:val="none"/>
          <w:u w:val="single"/>
        </w:rPr>
        <w:t xml:space="preserve">               </w:t>
      </w:r>
      <w:r>
        <w:rPr>
          <w:rFonts w:hint="eastAsia"/>
          <w:sz w:val="22"/>
          <w:szCs w:val="22"/>
          <w:highlight w:val="none"/>
        </w:rPr>
        <w:t>（项目名称）招标文件的全部内容，愿意分项报价表中投标报价提供</w:t>
      </w:r>
      <w:r>
        <w:rPr>
          <w:rFonts w:hint="eastAsia"/>
          <w:sz w:val="22"/>
          <w:szCs w:val="22"/>
          <w:highlight w:val="none"/>
          <w:u w:val="single"/>
        </w:rPr>
        <w:t xml:space="preserve">               </w:t>
      </w:r>
      <w:r>
        <w:rPr>
          <w:rFonts w:hint="eastAsia"/>
          <w:sz w:val="22"/>
          <w:szCs w:val="22"/>
          <w:highlight w:val="none"/>
          <w:u w:val="none"/>
          <w:lang w:val="en-US" w:eastAsia="zh-CN"/>
        </w:rPr>
        <w:t>运输</w:t>
      </w:r>
      <w:r>
        <w:rPr>
          <w:rFonts w:hint="eastAsia"/>
          <w:sz w:val="22"/>
          <w:szCs w:val="22"/>
          <w:highlight w:val="none"/>
        </w:rPr>
        <w:t>服务，并按合同约定履行义务。</w:t>
      </w:r>
      <w:bookmarkStart w:id="254" w:name="_GoBack"/>
      <w:bookmarkEnd w:id="254"/>
    </w:p>
    <w:p>
      <w:pPr>
        <w:pStyle w:val="2"/>
        <w:numPr>
          <w:numId w:val="0"/>
        </w:numPr>
        <w:ind w:left="357" w:leftChars="0"/>
      </w:pPr>
    </w:p>
    <w:p>
      <w:pPr>
        <w:adjustRightInd w:val="0"/>
        <w:spacing w:line="360" w:lineRule="auto"/>
        <w:ind w:firstLine="440" w:firstLineChars="200"/>
        <w:rPr>
          <w:sz w:val="22"/>
          <w:szCs w:val="24"/>
          <w:highlight w:val="none"/>
        </w:rPr>
      </w:pPr>
    </w:p>
    <w:p>
      <w:pPr>
        <w:adjustRightInd w:val="0"/>
        <w:spacing w:line="360" w:lineRule="auto"/>
        <w:ind w:firstLine="440" w:firstLineChars="200"/>
        <w:jc w:val="right"/>
        <w:rPr>
          <w:sz w:val="22"/>
          <w:szCs w:val="24"/>
          <w:highlight w:val="none"/>
        </w:rPr>
      </w:pPr>
      <w:r>
        <w:rPr>
          <w:rFonts w:hint="eastAsia"/>
          <w:sz w:val="22"/>
          <w:szCs w:val="24"/>
          <w:highlight w:val="none"/>
        </w:rPr>
        <w:t>投 标 人：</w:t>
      </w:r>
      <w:r>
        <w:rPr>
          <w:rFonts w:hint="eastAsia"/>
          <w:sz w:val="22"/>
          <w:szCs w:val="24"/>
          <w:highlight w:val="none"/>
          <w:u w:val="single"/>
        </w:rPr>
        <w:t xml:space="preserve">                     </w:t>
      </w:r>
      <w:r>
        <w:rPr>
          <w:rFonts w:hint="eastAsia"/>
          <w:sz w:val="22"/>
          <w:szCs w:val="24"/>
          <w:highlight w:val="none"/>
        </w:rPr>
        <w:t>（盖单位章）</w:t>
      </w:r>
    </w:p>
    <w:p>
      <w:pPr>
        <w:adjustRightInd w:val="0"/>
        <w:spacing w:line="360" w:lineRule="auto"/>
        <w:ind w:firstLine="440" w:firstLineChars="200"/>
        <w:jc w:val="right"/>
        <w:rPr>
          <w:sz w:val="22"/>
          <w:szCs w:val="24"/>
          <w:highlight w:val="none"/>
        </w:rPr>
      </w:pPr>
      <w:r>
        <w:rPr>
          <w:rFonts w:hint="eastAsia"/>
          <w:sz w:val="22"/>
          <w:szCs w:val="24"/>
          <w:highlight w:val="none"/>
        </w:rPr>
        <w:t>法定代表人或其委托代理人：</w:t>
      </w:r>
      <w:r>
        <w:rPr>
          <w:rFonts w:hint="eastAsia"/>
          <w:sz w:val="22"/>
          <w:szCs w:val="24"/>
          <w:highlight w:val="none"/>
          <w:u w:val="single"/>
        </w:rPr>
        <w:t xml:space="preserve">         </w:t>
      </w:r>
      <w:r>
        <w:rPr>
          <w:rFonts w:hint="eastAsia"/>
          <w:sz w:val="22"/>
          <w:szCs w:val="24"/>
          <w:highlight w:val="none"/>
        </w:rPr>
        <w:t>（签字）</w:t>
      </w:r>
    </w:p>
    <w:p>
      <w:pPr>
        <w:adjustRightInd w:val="0"/>
        <w:spacing w:line="360" w:lineRule="auto"/>
        <w:ind w:firstLine="440" w:firstLineChars="200"/>
        <w:jc w:val="center"/>
        <w:rPr>
          <w:sz w:val="22"/>
          <w:szCs w:val="22"/>
          <w:highlight w:val="none"/>
          <w:u w:val="single"/>
        </w:rPr>
      </w:pPr>
      <w:r>
        <w:rPr>
          <w:rFonts w:hint="eastAsia"/>
          <w:sz w:val="22"/>
          <w:szCs w:val="22"/>
          <w:highlight w:val="none"/>
        </w:rPr>
        <w:t>地 址：</w:t>
      </w:r>
      <w:r>
        <w:rPr>
          <w:rFonts w:hint="eastAsia"/>
          <w:sz w:val="22"/>
          <w:szCs w:val="22"/>
          <w:highlight w:val="none"/>
          <w:u w:val="single"/>
        </w:rPr>
        <w:t xml:space="preserve">                                    </w:t>
      </w:r>
    </w:p>
    <w:p>
      <w:pPr>
        <w:adjustRightInd w:val="0"/>
        <w:spacing w:line="360" w:lineRule="auto"/>
        <w:ind w:firstLine="440" w:firstLineChars="200"/>
        <w:jc w:val="center"/>
        <w:rPr>
          <w:sz w:val="22"/>
          <w:szCs w:val="22"/>
          <w:highlight w:val="none"/>
        </w:rPr>
      </w:pPr>
      <w:r>
        <w:rPr>
          <w:rFonts w:hint="eastAsia"/>
          <w:sz w:val="22"/>
          <w:szCs w:val="22"/>
          <w:highlight w:val="none"/>
        </w:rPr>
        <w:t>电 话：</w:t>
      </w:r>
      <w:r>
        <w:rPr>
          <w:rFonts w:hint="eastAsia"/>
          <w:sz w:val="22"/>
          <w:szCs w:val="22"/>
          <w:highlight w:val="none"/>
          <w:u w:val="single"/>
        </w:rPr>
        <w:t xml:space="preserve">                                    </w:t>
      </w:r>
    </w:p>
    <w:p>
      <w:pPr>
        <w:adjustRightInd w:val="0"/>
        <w:spacing w:line="360" w:lineRule="auto"/>
        <w:ind w:firstLine="440" w:firstLineChars="200"/>
        <w:jc w:val="center"/>
        <w:rPr>
          <w:sz w:val="22"/>
          <w:szCs w:val="22"/>
          <w:highlight w:val="none"/>
        </w:rPr>
      </w:pPr>
      <w:r>
        <w:rPr>
          <w:rFonts w:hint="eastAsia"/>
          <w:sz w:val="22"/>
          <w:szCs w:val="22"/>
          <w:highlight w:val="none"/>
        </w:rPr>
        <w:t xml:space="preserve">  邮政编码：</w:t>
      </w:r>
      <w:r>
        <w:rPr>
          <w:rFonts w:hint="eastAsia"/>
          <w:sz w:val="22"/>
          <w:szCs w:val="22"/>
          <w:highlight w:val="none"/>
          <w:u w:val="single"/>
        </w:rPr>
        <w:t xml:space="preserve">                                  </w:t>
      </w:r>
    </w:p>
    <w:p>
      <w:pPr>
        <w:adjustRightInd w:val="0"/>
        <w:spacing w:line="360" w:lineRule="auto"/>
        <w:ind w:firstLine="440" w:firstLineChars="200"/>
        <w:jc w:val="right"/>
        <w:rPr>
          <w:sz w:val="22"/>
          <w:szCs w:val="22"/>
          <w:highlight w:val="none"/>
        </w:rPr>
      </w:pPr>
      <w:r>
        <w:rPr>
          <w:rFonts w:hint="eastAsia"/>
          <w:sz w:val="22"/>
          <w:szCs w:val="22"/>
          <w:highlight w:val="none"/>
          <w:u w:val="single"/>
        </w:rPr>
        <w:t xml:space="preserve">    </w:t>
      </w:r>
      <w:r>
        <w:rPr>
          <w:rFonts w:hint="eastAsia"/>
          <w:sz w:val="22"/>
          <w:szCs w:val="22"/>
          <w:highlight w:val="none"/>
        </w:rPr>
        <w:t>年</w:t>
      </w:r>
      <w:r>
        <w:rPr>
          <w:rFonts w:hint="eastAsia"/>
          <w:sz w:val="22"/>
          <w:szCs w:val="22"/>
          <w:highlight w:val="none"/>
          <w:u w:val="single"/>
        </w:rPr>
        <w:t xml:space="preserve">   </w:t>
      </w:r>
      <w:r>
        <w:rPr>
          <w:rFonts w:hint="eastAsia"/>
          <w:sz w:val="22"/>
          <w:szCs w:val="22"/>
          <w:highlight w:val="none"/>
        </w:rPr>
        <w:t>月</w:t>
      </w:r>
      <w:r>
        <w:rPr>
          <w:rFonts w:hint="eastAsia"/>
          <w:sz w:val="22"/>
          <w:szCs w:val="22"/>
          <w:highlight w:val="none"/>
          <w:u w:val="single"/>
        </w:rPr>
        <w:t xml:space="preserve">   </w:t>
      </w:r>
      <w:r>
        <w:rPr>
          <w:rFonts w:hint="eastAsia"/>
          <w:sz w:val="22"/>
          <w:szCs w:val="22"/>
          <w:highlight w:val="none"/>
        </w:rPr>
        <w:t>日</w:t>
      </w:r>
    </w:p>
    <w:p>
      <w:pPr>
        <w:adjustRightInd w:val="0"/>
        <w:spacing w:line="360" w:lineRule="auto"/>
        <w:rPr>
          <w:sz w:val="22"/>
          <w:szCs w:val="22"/>
          <w:highlight w:val="none"/>
        </w:rPr>
      </w:pPr>
    </w:p>
    <w:p>
      <w:pPr>
        <w:adjustRightInd w:val="0"/>
        <w:spacing w:line="360" w:lineRule="auto"/>
        <w:rPr>
          <w:sz w:val="24"/>
          <w:szCs w:val="24"/>
          <w:highlight w:val="none"/>
        </w:rPr>
      </w:pPr>
    </w:p>
    <w:p>
      <w:pPr>
        <w:rPr>
          <w:sz w:val="36"/>
          <w:szCs w:val="36"/>
          <w:highlight w:val="none"/>
          <w:lang w:val="en-US"/>
        </w:rPr>
      </w:pPr>
    </w:p>
    <w:p>
      <w:pPr>
        <w:rPr>
          <w:highlight w:val="none"/>
          <w:lang w:val="en-US"/>
        </w:rPr>
      </w:pPr>
    </w:p>
    <w:bookmarkEnd w:id="250"/>
    <w:p>
      <w:pPr>
        <w:rPr>
          <w:rFonts w:eastAsia="黑体"/>
          <w:bCs/>
          <w:sz w:val="30"/>
          <w:highlight w:val="none"/>
        </w:rPr>
      </w:pPr>
      <w:r>
        <w:rPr>
          <w:rFonts w:hint="eastAsia"/>
          <w:highlight w:val="none"/>
          <w:lang w:val="en-US"/>
        </w:rPr>
        <w:br w:type="page"/>
      </w:r>
    </w:p>
    <w:p>
      <w:pPr>
        <w:rPr>
          <w:highlight w:val="none"/>
        </w:rPr>
      </w:pPr>
    </w:p>
    <w:p>
      <w:pPr>
        <w:pStyle w:val="4"/>
        <w:spacing w:line="525" w:lineRule="exact"/>
        <w:ind w:left="400" w:right="297" w:firstLine="0"/>
        <w:jc w:val="center"/>
        <w:rPr>
          <w:rFonts w:eastAsia="宋体"/>
          <w:highlight w:val="none"/>
        </w:rPr>
      </w:pPr>
      <w:bookmarkStart w:id="253" w:name="_Toc27965"/>
      <w:r>
        <w:rPr>
          <w:rFonts w:hint="eastAsia" w:eastAsia="宋体"/>
          <w:highlight w:val="none"/>
          <w:lang w:val="en-US"/>
        </w:rPr>
        <w:t>二、</w:t>
      </w:r>
      <w:r>
        <w:rPr>
          <w:highlight w:val="none"/>
        </w:rPr>
        <w:t>分项报价表</w:t>
      </w:r>
      <w:bookmarkEnd w:id="253"/>
    </w:p>
    <w:p>
      <w:pPr>
        <w:spacing w:line="360" w:lineRule="auto"/>
        <w:rPr>
          <w:szCs w:val="21"/>
          <w:highlight w:val="none"/>
        </w:rPr>
      </w:pPr>
    </w:p>
    <w:tbl>
      <w:tblPr>
        <w:tblStyle w:val="22"/>
        <w:tblW w:w="8820" w:type="dxa"/>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870"/>
        <w:gridCol w:w="2839"/>
        <w:gridCol w:w="2474"/>
        <w:gridCol w:w="2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8" w:hRule="atLeast"/>
        </w:trPr>
        <w:tc>
          <w:tcPr>
            <w:tcW w:w="870" w:type="dxa"/>
            <w:shd w:val="clear" w:color="auto" w:fill="auto"/>
            <w:tcMar>
              <w:top w:w="15" w:type="dxa"/>
              <w:left w:w="15" w:type="dxa"/>
              <w:right w:w="15" w:type="dxa"/>
            </w:tcMar>
            <w:vAlign w:val="center"/>
          </w:tcPr>
          <w:p>
            <w:pPr>
              <w:widowControl/>
              <w:jc w:val="center"/>
              <w:textAlignment w:val="center"/>
              <w:rPr>
                <w:rFonts w:hint="eastAsia" w:eastAsia="宋体"/>
                <w:color w:val="000000"/>
                <w:highlight w:val="none"/>
                <w:lang w:val="en-US" w:eastAsia="zh-CN"/>
              </w:rPr>
            </w:pPr>
            <w:r>
              <w:rPr>
                <w:rFonts w:hint="eastAsia"/>
                <w:color w:val="000000"/>
                <w:highlight w:val="none"/>
                <w:lang w:val="en-US" w:eastAsia="zh-CN"/>
              </w:rPr>
              <w:t>列号</w:t>
            </w:r>
          </w:p>
        </w:tc>
        <w:tc>
          <w:tcPr>
            <w:tcW w:w="2839" w:type="dxa"/>
            <w:shd w:val="clear" w:color="auto" w:fill="auto"/>
            <w:tcMar>
              <w:top w:w="15" w:type="dxa"/>
              <w:left w:w="15" w:type="dxa"/>
              <w:right w:w="15" w:type="dxa"/>
            </w:tcMar>
            <w:vAlign w:val="center"/>
          </w:tcPr>
          <w:p>
            <w:pPr>
              <w:widowControl/>
              <w:jc w:val="center"/>
              <w:textAlignment w:val="center"/>
              <w:rPr>
                <w:rFonts w:hint="eastAsia" w:eastAsia="宋体"/>
                <w:color w:val="000000"/>
                <w:highlight w:val="none"/>
                <w:lang w:val="en-US" w:eastAsia="zh-CN"/>
              </w:rPr>
            </w:pPr>
            <w:r>
              <w:rPr>
                <w:rFonts w:hint="eastAsia"/>
                <w:color w:val="000000"/>
                <w:highlight w:val="none"/>
                <w:lang w:val="en-US" w:eastAsia="zh-CN"/>
              </w:rPr>
              <w:t>1列</w:t>
            </w:r>
          </w:p>
        </w:tc>
        <w:tc>
          <w:tcPr>
            <w:tcW w:w="2474" w:type="dxa"/>
            <w:shd w:val="clear" w:color="auto" w:fill="auto"/>
            <w:tcMar>
              <w:top w:w="15" w:type="dxa"/>
              <w:left w:w="15" w:type="dxa"/>
              <w:right w:w="15" w:type="dxa"/>
            </w:tcMar>
            <w:vAlign w:val="center"/>
          </w:tcPr>
          <w:p>
            <w:pPr>
              <w:widowControl/>
              <w:jc w:val="center"/>
              <w:textAlignment w:val="center"/>
              <w:rPr>
                <w:rFonts w:hint="eastAsia" w:eastAsia="宋体"/>
                <w:color w:val="000000"/>
                <w:highlight w:val="none"/>
                <w:lang w:val="en-US" w:eastAsia="zh-CN"/>
              </w:rPr>
            </w:pPr>
            <w:r>
              <w:rPr>
                <w:rFonts w:hint="eastAsia"/>
                <w:color w:val="000000"/>
                <w:highlight w:val="none"/>
                <w:lang w:val="en-US" w:eastAsia="zh-CN"/>
              </w:rPr>
              <w:t>2列</w:t>
            </w:r>
          </w:p>
        </w:tc>
        <w:tc>
          <w:tcPr>
            <w:tcW w:w="2637" w:type="dxa"/>
            <w:shd w:val="clear" w:color="auto" w:fill="auto"/>
            <w:tcMar>
              <w:top w:w="15" w:type="dxa"/>
              <w:left w:w="15" w:type="dxa"/>
              <w:right w:w="15" w:type="dxa"/>
            </w:tcMar>
            <w:vAlign w:val="center"/>
          </w:tcPr>
          <w:p>
            <w:pPr>
              <w:widowControl/>
              <w:jc w:val="center"/>
              <w:textAlignment w:val="center"/>
              <w:rPr>
                <w:rFonts w:hint="eastAsia" w:eastAsia="宋体"/>
                <w:color w:val="000000"/>
                <w:highlight w:val="none"/>
                <w:lang w:val="en-US" w:eastAsia="zh-CN"/>
              </w:rPr>
            </w:pPr>
            <w:r>
              <w:rPr>
                <w:rFonts w:hint="eastAsia"/>
                <w:color w:val="000000"/>
                <w:highlight w:val="none"/>
                <w:lang w:val="en-US" w:eastAsia="zh-CN"/>
              </w:rPr>
              <w:t>3列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8" w:hRule="atLeast"/>
        </w:trPr>
        <w:tc>
          <w:tcPr>
            <w:tcW w:w="870" w:type="dxa"/>
            <w:shd w:val="clear" w:color="auto" w:fill="auto"/>
            <w:tcMar>
              <w:top w:w="15" w:type="dxa"/>
              <w:left w:w="15" w:type="dxa"/>
              <w:right w:w="15" w:type="dxa"/>
            </w:tcMar>
            <w:vAlign w:val="center"/>
          </w:tcPr>
          <w:p>
            <w:pPr>
              <w:widowControl/>
              <w:jc w:val="center"/>
              <w:textAlignment w:val="center"/>
              <w:rPr>
                <w:rFonts w:hint="default" w:eastAsia="宋体"/>
                <w:color w:val="000000"/>
                <w:highlight w:val="none"/>
                <w:lang w:val="en-US" w:eastAsia="zh-CN"/>
              </w:rPr>
            </w:pPr>
            <w:r>
              <w:rPr>
                <w:rFonts w:hint="eastAsia"/>
                <w:color w:val="000000"/>
                <w:highlight w:val="none"/>
                <w:lang w:val="en-US" w:eastAsia="zh-CN"/>
              </w:rPr>
              <w:t>行号</w:t>
            </w:r>
          </w:p>
        </w:tc>
        <w:tc>
          <w:tcPr>
            <w:tcW w:w="2839" w:type="dxa"/>
            <w:shd w:val="clear" w:color="auto" w:fill="auto"/>
            <w:tcMar>
              <w:top w:w="15" w:type="dxa"/>
              <w:left w:w="15" w:type="dxa"/>
              <w:right w:w="15" w:type="dxa"/>
            </w:tcMar>
            <w:vAlign w:val="center"/>
          </w:tcPr>
          <w:p>
            <w:pPr>
              <w:widowControl/>
              <w:jc w:val="center"/>
              <w:textAlignment w:val="center"/>
              <w:rPr>
                <w:color w:val="000000"/>
                <w:highlight w:val="none"/>
                <w:lang w:val="en-US"/>
              </w:rPr>
            </w:pPr>
            <w:r>
              <w:rPr>
                <w:rFonts w:hint="eastAsia"/>
                <w:color w:val="000000"/>
                <w:highlight w:val="none"/>
                <w:lang w:val="en-US"/>
              </w:rPr>
              <w:t>运距距离</w:t>
            </w:r>
          </w:p>
        </w:tc>
        <w:tc>
          <w:tcPr>
            <w:tcW w:w="2474" w:type="dxa"/>
            <w:shd w:val="clear" w:color="auto" w:fill="auto"/>
            <w:tcMar>
              <w:top w:w="15" w:type="dxa"/>
              <w:left w:w="15" w:type="dxa"/>
              <w:right w:w="15" w:type="dxa"/>
            </w:tcMar>
            <w:vAlign w:val="center"/>
          </w:tcPr>
          <w:p>
            <w:pPr>
              <w:widowControl/>
              <w:jc w:val="center"/>
              <w:textAlignment w:val="center"/>
              <w:rPr>
                <w:color w:val="000000"/>
                <w:highlight w:val="none"/>
              </w:rPr>
            </w:pPr>
            <w:r>
              <w:rPr>
                <w:rFonts w:hint="eastAsia"/>
                <w:color w:val="000000"/>
                <w:highlight w:val="none"/>
                <w:lang w:eastAsia="zh-CN"/>
              </w:rPr>
              <w:t>报</w:t>
            </w:r>
            <w:r>
              <w:rPr>
                <w:rFonts w:hint="eastAsia"/>
                <w:color w:val="000000"/>
                <w:highlight w:val="none"/>
              </w:rPr>
              <w:t>价</w:t>
            </w:r>
          </w:p>
          <w:p>
            <w:pPr>
              <w:widowControl/>
              <w:jc w:val="center"/>
              <w:textAlignment w:val="center"/>
              <w:rPr>
                <w:color w:val="000000"/>
                <w:highlight w:val="none"/>
              </w:rPr>
            </w:pPr>
            <w:r>
              <w:rPr>
                <w:rFonts w:hint="eastAsia"/>
                <w:color w:val="000000"/>
                <w:highlight w:val="none"/>
              </w:rPr>
              <w:t>（</w:t>
            </w:r>
            <w:r>
              <w:rPr>
                <w:rStyle w:val="34"/>
                <w:rFonts w:hint="default"/>
                <w:highlight w:val="none"/>
                <w:lang w:val="en-US"/>
              </w:rPr>
              <w:t>元/吨·公里</w:t>
            </w:r>
            <w:r>
              <w:rPr>
                <w:rFonts w:hint="eastAsia"/>
                <w:color w:val="000000"/>
                <w:highlight w:val="none"/>
              </w:rPr>
              <w:t>）</w:t>
            </w:r>
          </w:p>
        </w:tc>
        <w:tc>
          <w:tcPr>
            <w:tcW w:w="2637" w:type="dxa"/>
            <w:shd w:val="clear" w:color="auto" w:fill="auto"/>
            <w:tcMar>
              <w:top w:w="15" w:type="dxa"/>
              <w:left w:w="15" w:type="dxa"/>
              <w:right w:w="15" w:type="dxa"/>
            </w:tcMar>
            <w:vAlign w:val="center"/>
          </w:tcPr>
          <w:p>
            <w:pPr>
              <w:widowControl/>
              <w:jc w:val="center"/>
              <w:textAlignment w:val="center"/>
              <w:rPr>
                <w:color w:val="000000"/>
                <w:highlight w:val="none"/>
              </w:rPr>
            </w:pPr>
            <w:r>
              <w:rPr>
                <w:rFonts w:hint="eastAsia"/>
                <w:color w:val="000000"/>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6" w:hRule="atLeast"/>
        </w:trPr>
        <w:tc>
          <w:tcPr>
            <w:tcW w:w="870" w:type="dxa"/>
            <w:vMerge w:val="restart"/>
            <w:shd w:val="clear" w:color="auto" w:fill="auto"/>
            <w:tcMar>
              <w:top w:w="15" w:type="dxa"/>
              <w:left w:w="15" w:type="dxa"/>
              <w:right w:w="15" w:type="dxa"/>
            </w:tcMar>
            <w:vAlign w:val="center"/>
          </w:tcPr>
          <w:p>
            <w:pPr>
              <w:jc w:val="center"/>
              <w:textAlignment w:val="center"/>
              <w:rPr>
                <w:color w:val="000000"/>
                <w:highlight w:val="none"/>
                <w:lang w:val="en-US"/>
              </w:rPr>
            </w:pPr>
            <w:r>
              <w:rPr>
                <w:rFonts w:hint="eastAsia"/>
                <w:color w:val="000000"/>
                <w:highlight w:val="none"/>
                <w:lang w:val="en-US"/>
              </w:rPr>
              <w:t>1</w:t>
            </w:r>
          </w:p>
        </w:tc>
        <w:tc>
          <w:tcPr>
            <w:tcW w:w="2839" w:type="dxa"/>
            <w:shd w:val="clear" w:color="auto" w:fill="auto"/>
            <w:tcMar>
              <w:top w:w="15" w:type="dxa"/>
              <w:left w:w="15" w:type="dxa"/>
              <w:right w:w="15" w:type="dxa"/>
            </w:tcMar>
            <w:vAlign w:val="center"/>
          </w:tcPr>
          <w:p>
            <w:pPr>
              <w:widowControl/>
              <w:jc w:val="center"/>
              <w:textAlignment w:val="center"/>
              <w:rPr>
                <w:highlight w:val="none"/>
                <w:lang w:val="en-US"/>
              </w:rPr>
            </w:pPr>
            <w:r>
              <w:rPr>
                <w:rFonts w:hint="eastAsia"/>
                <w:color w:val="000000"/>
                <w:highlight w:val="none"/>
                <w:lang w:val="en-US"/>
              </w:rPr>
              <w:t>实测距离</w:t>
            </w:r>
            <w:r>
              <w:rPr>
                <w:rFonts w:hint="eastAsia" w:ascii="宋体" w:hAnsi="宋体" w:eastAsia="宋体" w:cs="宋体"/>
                <w:color w:val="000000"/>
                <w:highlight w:val="none"/>
                <w:lang w:val="en-US"/>
              </w:rPr>
              <w:t>&lt;</w:t>
            </w:r>
            <w:r>
              <w:rPr>
                <w:rFonts w:hint="eastAsia"/>
                <w:color w:val="000000"/>
                <w:highlight w:val="none"/>
                <w:lang w:val="en-US" w:eastAsia="zh-CN"/>
              </w:rPr>
              <w:t>80</w:t>
            </w:r>
            <w:r>
              <w:rPr>
                <w:rFonts w:hint="eastAsia"/>
                <w:color w:val="000000"/>
                <w:highlight w:val="none"/>
                <w:lang w:val="en-US"/>
              </w:rPr>
              <w:t>公里</w:t>
            </w:r>
          </w:p>
        </w:tc>
        <w:tc>
          <w:tcPr>
            <w:tcW w:w="2474" w:type="dxa"/>
            <w:shd w:val="clear" w:color="auto" w:fill="auto"/>
            <w:tcMar>
              <w:top w:w="15" w:type="dxa"/>
              <w:left w:w="15" w:type="dxa"/>
              <w:right w:w="15" w:type="dxa"/>
            </w:tcMar>
            <w:vAlign w:val="center"/>
          </w:tcPr>
          <w:p>
            <w:pPr>
              <w:widowControl/>
              <w:jc w:val="center"/>
              <w:textAlignment w:val="center"/>
              <w:rPr>
                <w:color w:val="000000"/>
                <w:highlight w:val="none"/>
                <w:lang w:val="en-US"/>
              </w:rPr>
            </w:pPr>
            <w:r>
              <w:rPr>
                <w:rFonts w:hint="eastAsia"/>
                <w:color w:val="000000"/>
                <w:highlight w:val="none"/>
                <w:lang w:val="en-US"/>
              </w:rPr>
              <w:t>+0.0</w:t>
            </w:r>
            <w:r>
              <w:rPr>
                <w:rFonts w:hint="eastAsia"/>
                <w:color w:val="000000"/>
                <w:highlight w:val="none"/>
                <w:lang w:val="en-US" w:eastAsia="zh-CN"/>
              </w:rPr>
              <w:t>8</w:t>
            </w:r>
            <w:r>
              <w:rPr>
                <w:rStyle w:val="34"/>
                <w:rFonts w:hint="default"/>
                <w:highlight w:val="none"/>
                <w:lang w:val="en-US"/>
              </w:rPr>
              <w:t>元/吨·公里</w:t>
            </w:r>
          </w:p>
        </w:tc>
        <w:tc>
          <w:tcPr>
            <w:tcW w:w="2637" w:type="dxa"/>
            <w:shd w:val="clear" w:color="auto" w:fill="auto"/>
            <w:tcMar>
              <w:top w:w="15" w:type="dxa"/>
              <w:left w:w="15" w:type="dxa"/>
              <w:right w:w="15" w:type="dxa"/>
            </w:tcMar>
            <w:vAlign w:val="center"/>
          </w:tcPr>
          <w:p>
            <w:pPr>
              <w:jc w:val="center"/>
              <w:rPr>
                <w:color w:val="000000"/>
                <w:highlight w:val="none"/>
              </w:rPr>
            </w:pPr>
            <w:r>
              <w:rPr>
                <w:rFonts w:hint="eastAsia"/>
                <w:color w:val="000000"/>
                <w:highlight w:val="none"/>
                <w:lang w:val="en-US"/>
              </w:rPr>
              <w:t>以</w:t>
            </w:r>
            <w:r>
              <w:rPr>
                <w:rFonts w:hint="eastAsia"/>
                <w:color w:val="000000"/>
                <w:highlight w:val="none"/>
                <w:lang w:val="en-US" w:eastAsia="zh-CN"/>
              </w:rPr>
              <w:t>80</w:t>
            </w:r>
            <w:r>
              <w:rPr>
                <w:rFonts w:hint="eastAsia"/>
                <w:color w:val="000000"/>
                <w:highlight w:val="none"/>
                <w:lang w:val="en-US"/>
              </w:rPr>
              <w:t>公里≦实测距离</w:t>
            </w:r>
            <w:r>
              <w:rPr>
                <w:rFonts w:hint="eastAsia" w:ascii="宋体" w:hAnsi="宋体" w:eastAsia="宋体" w:cs="宋体"/>
                <w:color w:val="000000"/>
                <w:highlight w:val="none"/>
                <w:lang w:val="en-US"/>
              </w:rPr>
              <w:t>&lt;</w:t>
            </w:r>
            <w:r>
              <w:rPr>
                <w:rFonts w:hint="eastAsia"/>
                <w:color w:val="000000"/>
                <w:highlight w:val="none"/>
                <w:lang w:val="en-US"/>
              </w:rPr>
              <w:t>200公里</w:t>
            </w:r>
            <w:r>
              <w:rPr>
                <w:rStyle w:val="34"/>
                <w:rFonts w:hint="default"/>
                <w:highlight w:val="none"/>
                <w:lang w:val="en-US"/>
              </w:rPr>
              <w:t>投标人报价为基准价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6" w:hRule="atLeast"/>
        </w:trPr>
        <w:tc>
          <w:tcPr>
            <w:tcW w:w="870" w:type="dxa"/>
            <w:vMerge w:val="continue"/>
            <w:shd w:val="clear" w:color="auto" w:fill="auto"/>
            <w:tcMar>
              <w:top w:w="15" w:type="dxa"/>
              <w:left w:w="15" w:type="dxa"/>
              <w:right w:w="15" w:type="dxa"/>
            </w:tcMar>
            <w:vAlign w:val="center"/>
          </w:tcPr>
          <w:p>
            <w:pPr>
              <w:jc w:val="center"/>
              <w:textAlignment w:val="center"/>
              <w:rPr>
                <w:color w:val="000000"/>
                <w:highlight w:val="none"/>
                <w:lang w:val="en-US"/>
              </w:rPr>
            </w:pPr>
          </w:p>
        </w:tc>
        <w:tc>
          <w:tcPr>
            <w:tcW w:w="2839" w:type="dxa"/>
            <w:shd w:val="clear" w:color="auto" w:fill="auto"/>
            <w:tcMar>
              <w:top w:w="15" w:type="dxa"/>
              <w:left w:w="15" w:type="dxa"/>
              <w:right w:w="15" w:type="dxa"/>
            </w:tcMar>
            <w:vAlign w:val="center"/>
          </w:tcPr>
          <w:p>
            <w:pPr>
              <w:widowControl/>
              <w:jc w:val="center"/>
              <w:textAlignment w:val="center"/>
              <w:rPr>
                <w:highlight w:val="none"/>
                <w:lang w:val="en-US"/>
              </w:rPr>
            </w:pPr>
            <w:r>
              <w:rPr>
                <w:rFonts w:hint="eastAsia"/>
                <w:color w:val="000000"/>
                <w:highlight w:val="none"/>
                <w:lang w:val="en-US" w:eastAsia="zh-CN"/>
              </w:rPr>
              <w:t>80</w:t>
            </w:r>
            <w:r>
              <w:rPr>
                <w:rFonts w:hint="eastAsia"/>
                <w:color w:val="000000"/>
                <w:highlight w:val="none"/>
                <w:lang w:val="en-US"/>
              </w:rPr>
              <w:t>公里≦实测距离</w:t>
            </w:r>
            <w:r>
              <w:rPr>
                <w:rFonts w:hint="eastAsia" w:ascii="宋体" w:hAnsi="宋体" w:eastAsia="宋体" w:cs="宋体"/>
                <w:color w:val="000000"/>
                <w:highlight w:val="none"/>
                <w:lang w:val="en-US"/>
              </w:rPr>
              <w:t>&lt;</w:t>
            </w:r>
            <w:r>
              <w:rPr>
                <w:rFonts w:hint="eastAsia"/>
                <w:color w:val="000000"/>
                <w:highlight w:val="none"/>
                <w:lang w:val="en-US"/>
              </w:rPr>
              <w:t>200公里</w:t>
            </w:r>
          </w:p>
        </w:tc>
        <w:tc>
          <w:tcPr>
            <w:tcW w:w="2474" w:type="dxa"/>
            <w:shd w:val="clear" w:color="auto" w:fill="auto"/>
            <w:tcMar>
              <w:top w:w="15" w:type="dxa"/>
              <w:left w:w="15" w:type="dxa"/>
              <w:right w:w="15" w:type="dxa"/>
            </w:tcMar>
            <w:vAlign w:val="center"/>
          </w:tcPr>
          <w:p>
            <w:pPr>
              <w:widowControl/>
              <w:jc w:val="center"/>
              <w:textAlignment w:val="center"/>
              <w:rPr>
                <w:color w:val="000000"/>
                <w:highlight w:val="none"/>
                <w:lang w:val="en-US"/>
              </w:rPr>
            </w:pPr>
          </w:p>
        </w:tc>
        <w:tc>
          <w:tcPr>
            <w:tcW w:w="2637" w:type="dxa"/>
            <w:shd w:val="clear" w:color="auto" w:fill="auto"/>
            <w:tcMar>
              <w:top w:w="15" w:type="dxa"/>
              <w:left w:w="15" w:type="dxa"/>
              <w:right w:w="15" w:type="dxa"/>
            </w:tcMar>
            <w:vAlign w:val="center"/>
          </w:tcPr>
          <w:p>
            <w:pPr>
              <w:jc w:val="center"/>
              <w:rPr>
                <w:color w:val="000000"/>
                <w:highlight w:val="none"/>
              </w:rPr>
            </w:pPr>
            <w:r>
              <w:rPr>
                <w:rFonts w:hint="eastAsia"/>
                <w:color w:val="000000"/>
                <w:highlight w:val="none"/>
                <w:lang w:val="en-US"/>
              </w:rPr>
              <w:t>投标人只需对</w:t>
            </w:r>
            <w:r>
              <w:rPr>
                <w:rFonts w:hint="eastAsia"/>
                <w:color w:val="000000"/>
                <w:highlight w:val="none"/>
                <w:lang w:val="en-US" w:eastAsia="zh-CN"/>
              </w:rPr>
              <w:t>80</w:t>
            </w:r>
            <w:r>
              <w:rPr>
                <w:rFonts w:hint="eastAsia"/>
                <w:color w:val="000000"/>
                <w:highlight w:val="none"/>
                <w:lang w:val="en-US"/>
              </w:rPr>
              <w:t>公里≦实测距离</w:t>
            </w:r>
            <w:r>
              <w:rPr>
                <w:rFonts w:hint="eastAsia" w:ascii="宋体" w:hAnsi="宋体" w:eastAsia="宋体" w:cs="宋体"/>
                <w:color w:val="000000"/>
                <w:highlight w:val="none"/>
                <w:lang w:val="en-US"/>
              </w:rPr>
              <w:t>&lt;</w:t>
            </w:r>
            <w:r>
              <w:rPr>
                <w:rFonts w:hint="eastAsia"/>
                <w:color w:val="000000"/>
                <w:highlight w:val="none"/>
                <w:lang w:val="en-US"/>
              </w:rPr>
              <w:t>200公里进行报价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6" w:hRule="atLeast"/>
        </w:trPr>
        <w:tc>
          <w:tcPr>
            <w:tcW w:w="870" w:type="dxa"/>
            <w:vMerge w:val="continue"/>
            <w:shd w:val="clear" w:color="auto" w:fill="auto"/>
            <w:tcMar>
              <w:top w:w="15" w:type="dxa"/>
              <w:left w:w="15" w:type="dxa"/>
              <w:right w:w="15" w:type="dxa"/>
            </w:tcMar>
            <w:vAlign w:val="center"/>
          </w:tcPr>
          <w:p>
            <w:pPr>
              <w:jc w:val="center"/>
              <w:textAlignment w:val="center"/>
              <w:rPr>
                <w:color w:val="000000"/>
                <w:highlight w:val="none"/>
                <w:lang w:val="en-US"/>
              </w:rPr>
            </w:pPr>
          </w:p>
        </w:tc>
        <w:tc>
          <w:tcPr>
            <w:tcW w:w="2839" w:type="dxa"/>
            <w:shd w:val="clear" w:color="auto" w:fill="auto"/>
            <w:tcMar>
              <w:top w:w="15" w:type="dxa"/>
              <w:left w:w="15" w:type="dxa"/>
              <w:right w:w="15" w:type="dxa"/>
            </w:tcMar>
            <w:vAlign w:val="center"/>
          </w:tcPr>
          <w:p>
            <w:pPr>
              <w:widowControl/>
              <w:jc w:val="center"/>
              <w:textAlignment w:val="center"/>
              <w:rPr>
                <w:color w:val="000000"/>
                <w:highlight w:val="none"/>
                <w:lang w:val="en-US"/>
              </w:rPr>
            </w:pPr>
            <w:r>
              <w:rPr>
                <w:rFonts w:hint="eastAsia"/>
                <w:color w:val="000000"/>
                <w:highlight w:val="none"/>
                <w:lang w:val="en-US" w:eastAsia="zh-CN"/>
              </w:rPr>
              <w:t>2</w:t>
            </w:r>
            <w:r>
              <w:rPr>
                <w:rFonts w:hint="eastAsia"/>
                <w:color w:val="000000"/>
                <w:highlight w:val="none"/>
                <w:lang w:val="en-US"/>
              </w:rPr>
              <w:t>00</w:t>
            </w:r>
            <w:r>
              <w:rPr>
                <w:rFonts w:hint="eastAsia"/>
                <w:color w:val="000000"/>
                <w:highlight w:val="none"/>
              </w:rPr>
              <w:t>公里</w:t>
            </w:r>
            <w:r>
              <w:rPr>
                <w:rFonts w:hint="eastAsia"/>
                <w:color w:val="000000"/>
                <w:highlight w:val="none"/>
                <w:lang w:val="en-US"/>
              </w:rPr>
              <w:t>≦实测距离</w:t>
            </w:r>
          </w:p>
        </w:tc>
        <w:tc>
          <w:tcPr>
            <w:tcW w:w="2474" w:type="dxa"/>
            <w:shd w:val="clear" w:color="auto" w:fill="auto"/>
            <w:tcMar>
              <w:top w:w="15" w:type="dxa"/>
              <w:left w:w="15" w:type="dxa"/>
              <w:right w:w="15" w:type="dxa"/>
            </w:tcMar>
            <w:vAlign w:val="center"/>
          </w:tcPr>
          <w:p>
            <w:pPr>
              <w:widowControl/>
              <w:jc w:val="center"/>
              <w:textAlignment w:val="center"/>
              <w:rPr>
                <w:color w:val="000000"/>
                <w:highlight w:val="none"/>
                <w:lang w:val="en-US"/>
              </w:rPr>
            </w:pPr>
            <w:r>
              <w:rPr>
                <w:rFonts w:hint="eastAsia"/>
                <w:color w:val="000000"/>
                <w:highlight w:val="none"/>
                <w:lang w:val="en-US"/>
              </w:rPr>
              <w:t>-</w:t>
            </w:r>
            <w:r>
              <w:rPr>
                <w:rStyle w:val="34"/>
                <w:rFonts w:hint="default"/>
                <w:highlight w:val="none"/>
                <w:lang w:val="en-US"/>
              </w:rPr>
              <w:t>0.</w:t>
            </w:r>
            <w:r>
              <w:rPr>
                <w:rStyle w:val="34"/>
                <w:rFonts w:hint="eastAsia"/>
                <w:highlight w:val="none"/>
                <w:lang w:val="en-US" w:eastAsia="zh-CN"/>
              </w:rPr>
              <w:t>05</w:t>
            </w:r>
            <w:r>
              <w:rPr>
                <w:rStyle w:val="34"/>
                <w:rFonts w:hint="default"/>
                <w:highlight w:val="none"/>
                <w:lang w:val="en-US"/>
              </w:rPr>
              <w:t>元/吨·公里</w:t>
            </w:r>
          </w:p>
        </w:tc>
        <w:tc>
          <w:tcPr>
            <w:tcW w:w="2637" w:type="dxa"/>
            <w:shd w:val="clear" w:color="auto" w:fill="auto"/>
            <w:tcMar>
              <w:top w:w="15" w:type="dxa"/>
              <w:left w:w="15" w:type="dxa"/>
              <w:right w:w="15" w:type="dxa"/>
            </w:tcMar>
            <w:vAlign w:val="center"/>
          </w:tcPr>
          <w:p>
            <w:pPr>
              <w:jc w:val="center"/>
              <w:rPr>
                <w:color w:val="000000"/>
                <w:highlight w:val="none"/>
                <w:lang w:val="en-US"/>
              </w:rPr>
            </w:pPr>
            <w:r>
              <w:rPr>
                <w:rFonts w:hint="eastAsia"/>
                <w:color w:val="000000"/>
                <w:highlight w:val="none"/>
                <w:lang w:val="en-US"/>
              </w:rPr>
              <w:t>以</w:t>
            </w:r>
            <w:r>
              <w:rPr>
                <w:rFonts w:hint="eastAsia"/>
                <w:color w:val="000000"/>
                <w:highlight w:val="none"/>
                <w:lang w:val="en-US" w:eastAsia="zh-CN"/>
              </w:rPr>
              <w:t>80</w:t>
            </w:r>
            <w:r>
              <w:rPr>
                <w:rFonts w:hint="eastAsia"/>
                <w:color w:val="000000"/>
                <w:highlight w:val="none"/>
                <w:lang w:val="en-US"/>
              </w:rPr>
              <w:t>公里≦实测距离</w:t>
            </w:r>
            <w:r>
              <w:rPr>
                <w:rFonts w:hint="eastAsia" w:ascii="宋体" w:hAnsi="宋体" w:eastAsia="宋体" w:cs="宋体"/>
                <w:color w:val="000000"/>
                <w:highlight w:val="none"/>
                <w:lang w:val="en-US"/>
              </w:rPr>
              <w:t>&lt;</w:t>
            </w:r>
            <w:r>
              <w:rPr>
                <w:rFonts w:hint="eastAsia"/>
                <w:color w:val="000000"/>
                <w:highlight w:val="none"/>
                <w:lang w:val="en-US"/>
              </w:rPr>
              <w:t>200公里</w:t>
            </w:r>
            <w:r>
              <w:rPr>
                <w:rStyle w:val="34"/>
                <w:rFonts w:hint="default"/>
                <w:highlight w:val="none"/>
                <w:lang w:val="en-US"/>
              </w:rPr>
              <w:t>投标人报价为基准价</w:t>
            </w:r>
          </w:p>
        </w:tc>
      </w:tr>
    </w:tbl>
    <w:p>
      <w:pPr>
        <w:spacing w:line="360" w:lineRule="auto"/>
        <w:rPr>
          <w:szCs w:val="21"/>
          <w:highlight w:val="none"/>
        </w:rPr>
      </w:pPr>
    </w:p>
    <w:p>
      <w:pPr>
        <w:spacing w:line="360" w:lineRule="auto"/>
        <w:rPr>
          <w:szCs w:val="21"/>
          <w:highlight w:val="none"/>
        </w:rPr>
      </w:pPr>
      <w:r>
        <w:rPr>
          <w:rFonts w:hint="eastAsia"/>
          <w:szCs w:val="21"/>
          <w:highlight w:val="none"/>
          <w:lang w:eastAsia="zh-CN"/>
        </w:rPr>
        <w:t>报价说明</w:t>
      </w:r>
      <w:r>
        <w:rPr>
          <w:rFonts w:hint="eastAsia"/>
          <w:szCs w:val="21"/>
          <w:highlight w:val="none"/>
        </w:rPr>
        <w:t>：</w:t>
      </w:r>
    </w:p>
    <w:p>
      <w:pPr>
        <w:numPr>
          <w:ilvl w:val="0"/>
          <w:numId w:val="25"/>
        </w:numPr>
        <w:spacing w:line="360" w:lineRule="auto"/>
        <w:rPr>
          <w:rFonts w:hint="eastAsia"/>
          <w:szCs w:val="21"/>
          <w:highlight w:val="none"/>
          <w:lang w:eastAsia="zh-CN"/>
        </w:rPr>
      </w:pPr>
      <w:r>
        <w:rPr>
          <w:rFonts w:hint="eastAsia"/>
          <w:szCs w:val="21"/>
          <w:highlight w:val="none"/>
          <w:lang w:eastAsia="zh-CN"/>
        </w:rPr>
        <w:t>本合同有效期内，由甲方、乙方、甲方所供项目方三方按本合同约定的运距确认原则进行实测，须以甲乙双方及甲方所供项目经办人签字盖章确认的运距确认单为准，运距确认单中应明确运输路线。运距确认原则为：高速公路优先，国、省、县、乡道其次，施工便道再次的原则，各投标人报价时应综合考虑国家相应的运输政策，不再因国家超限超载政策变动对运输价格进行调整，运输过程中除不可抗力因素外不再进行调整运距。</w:t>
      </w:r>
    </w:p>
    <w:p>
      <w:pPr>
        <w:widowControl/>
        <w:jc w:val="both"/>
        <w:textAlignment w:val="center"/>
        <w:rPr>
          <w:rFonts w:hint="default" w:eastAsia="宋体"/>
          <w:szCs w:val="21"/>
          <w:highlight w:val="none"/>
          <w:lang w:val="en-US" w:eastAsia="zh-CN"/>
        </w:rPr>
      </w:pPr>
      <w:r>
        <w:rPr>
          <w:rFonts w:hint="eastAsia"/>
          <w:szCs w:val="21"/>
          <w:highlight w:val="none"/>
          <w:lang w:val="en-US" w:eastAsia="zh-CN"/>
        </w:rPr>
        <w:t>2</w:t>
      </w:r>
      <w:r>
        <w:rPr>
          <w:rFonts w:hint="eastAsia"/>
          <w:szCs w:val="21"/>
          <w:highlight w:val="none"/>
        </w:rPr>
        <w:t>）最终运输</w:t>
      </w:r>
      <w:r>
        <w:rPr>
          <w:rFonts w:hint="eastAsia"/>
          <w:szCs w:val="21"/>
          <w:highlight w:val="none"/>
          <w:lang w:eastAsia="zh-CN"/>
        </w:rPr>
        <w:t>单价</w:t>
      </w:r>
      <w:r>
        <w:rPr>
          <w:rFonts w:hint="eastAsia"/>
          <w:szCs w:val="21"/>
          <w:highlight w:val="none"/>
        </w:rPr>
        <w:t>=</w:t>
      </w:r>
      <w:r>
        <w:rPr>
          <w:rFonts w:hint="eastAsia"/>
          <w:szCs w:val="21"/>
          <w:highlight w:val="none"/>
          <w:lang w:val="en-US" w:eastAsia="zh-CN"/>
        </w:rPr>
        <w:t>2列</w:t>
      </w:r>
      <w:r>
        <w:rPr>
          <w:rFonts w:hint="eastAsia"/>
          <w:szCs w:val="21"/>
          <w:highlight w:val="none"/>
          <w:lang w:eastAsia="zh-CN"/>
        </w:rPr>
        <w:t>报价</w:t>
      </w:r>
      <w:r>
        <w:rPr>
          <w:rFonts w:hint="eastAsia"/>
          <w:szCs w:val="21"/>
          <w:highlight w:val="none"/>
        </w:rPr>
        <w:t>×距离；</w:t>
      </w:r>
      <w:r>
        <w:rPr>
          <w:rFonts w:hint="eastAsia"/>
          <w:szCs w:val="21"/>
          <w:highlight w:val="none"/>
          <w:lang w:eastAsia="zh-CN"/>
        </w:rPr>
        <w:t>当最终运输单价</w:t>
      </w:r>
      <w:r>
        <w:rPr>
          <w:rFonts w:hint="eastAsia"/>
          <w:color w:val="000000"/>
          <w:highlight w:val="none"/>
          <w:lang w:val="en-US"/>
        </w:rPr>
        <w:t>≦</w:t>
      </w:r>
      <w:r>
        <w:rPr>
          <w:rFonts w:hint="eastAsia"/>
          <w:color w:val="000000"/>
          <w:highlight w:val="none"/>
          <w:lang w:val="en-US" w:eastAsia="zh-CN"/>
        </w:rPr>
        <w:t>30元/吨时，按30元/吨作为合同的最终运输单价。</w:t>
      </w:r>
    </w:p>
    <w:p>
      <w:pPr>
        <w:spacing w:line="360" w:lineRule="auto"/>
        <w:rPr>
          <w:rFonts w:hint="eastAsia"/>
          <w:szCs w:val="21"/>
          <w:highlight w:val="none"/>
        </w:rPr>
      </w:pPr>
      <w:r>
        <w:rPr>
          <w:rFonts w:hint="eastAsia"/>
          <w:szCs w:val="21"/>
          <w:highlight w:val="none"/>
          <w:lang w:val="en-US" w:eastAsia="zh-CN"/>
        </w:rPr>
        <w:t>3</w:t>
      </w:r>
      <w:r>
        <w:rPr>
          <w:rFonts w:hint="eastAsia"/>
          <w:szCs w:val="21"/>
          <w:highlight w:val="none"/>
        </w:rPr>
        <w:t>）投标人只需填写</w:t>
      </w:r>
      <w:r>
        <w:rPr>
          <w:rFonts w:hint="eastAsia"/>
          <w:color w:val="000000"/>
          <w:highlight w:val="none"/>
          <w:lang w:val="en-US" w:eastAsia="zh-CN"/>
        </w:rPr>
        <w:t>80</w:t>
      </w:r>
      <w:r>
        <w:rPr>
          <w:rFonts w:hint="eastAsia"/>
          <w:color w:val="000000"/>
          <w:highlight w:val="none"/>
          <w:lang w:val="en-US"/>
        </w:rPr>
        <w:t>公里≦实测距离</w:t>
      </w:r>
      <w:r>
        <w:rPr>
          <w:rFonts w:hint="eastAsia" w:ascii="宋体" w:hAnsi="宋体" w:eastAsia="宋体" w:cs="宋体"/>
          <w:color w:val="000000"/>
          <w:highlight w:val="none"/>
          <w:lang w:val="en-US"/>
        </w:rPr>
        <w:t>&lt;</w:t>
      </w:r>
      <w:r>
        <w:rPr>
          <w:rFonts w:hint="eastAsia"/>
          <w:color w:val="000000"/>
          <w:highlight w:val="none"/>
          <w:lang w:val="en-US"/>
        </w:rPr>
        <w:t>200公里</w:t>
      </w:r>
      <w:r>
        <w:rPr>
          <w:rFonts w:hint="eastAsia"/>
          <w:szCs w:val="21"/>
          <w:highlight w:val="none"/>
        </w:rPr>
        <w:t>的报价，其余位置不</w:t>
      </w:r>
      <w:r>
        <w:rPr>
          <w:rFonts w:hint="eastAsia"/>
          <w:szCs w:val="21"/>
          <w:highlight w:val="none"/>
          <w:lang w:val="en-US" w:eastAsia="zh-CN"/>
        </w:rPr>
        <w:t>允许有任何改动</w:t>
      </w:r>
      <w:r>
        <w:rPr>
          <w:rFonts w:hint="eastAsia"/>
          <w:szCs w:val="21"/>
          <w:highlight w:val="none"/>
        </w:rPr>
        <w:t>。</w:t>
      </w:r>
    </w:p>
    <w:p>
      <w:pPr>
        <w:spacing w:line="360" w:lineRule="auto"/>
        <w:rPr>
          <w:rFonts w:hint="default" w:eastAsia="宋体"/>
          <w:szCs w:val="21"/>
          <w:highlight w:val="none"/>
          <w:lang w:val="en-US" w:eastAsia="zh-CN"/>
        </w:rPr>
      </w:pPr>
      <w:r>
        <w:rPr>
          <w:rFonts w:hint="eastAsia"/>
          <w:szCs w:val="21"/>
          <w:highlight w:val="none"/>
          <w:lang w:val="en-US" w:eastAsia="zh-CN"/>
        </w:rPr>
        <w:t>4）若发货地点为六盘水首钢水城钢铁（集团）有限责任公司钢厂提货，投标人需支付3元/吨的系统平台使用费，此平台使用费投标人包含在报价里面。</w:t>
      </w:r>
    </w:p>
    <w:p>
      <w:pPr>
        <w:spacing w:line="360" w:lineRule="auto"/>
        <w:rPr>
          <w:rFonts w:hint="eastAsia"/>
          <w:szCs w:val="21"/>
          <w:highlight w:val="none"/>
        </w:rPr>
      </w:pPr>
      <w:r>
        <w:rPr>
          <w:rFonts w:hint="eastAsia"/>
          <w:szCs w:val="21"/>
          <w:highlight w:val="none"/>
          <w:lang w:val="en-US" w:eastAsia="zh-CN"/>
        </w:rPr>
        <w:t>5</w:t>
      </w:r>
      <w:r>
        <w:rPr>
          <w:rFonts w:hint="eastAsia"/>
          <w:szCs w:val="21"/>
          <w:highlight w:val="none"/>
        </w:rPr>
        <w:t>）未按照报价表要求报价一律作</w:t>
      </w:r>
      <w:r>
        <w:rPr>
          <w:rFonts w:hint="eastAsia"/>
          <w:szCs w:val="21"/>
          <w:highlight w:val="none"/>
          <w:lang w:val="en-US"/>
        </w:rPr>
        <w:t>否决投标处理</w:t>
      </w:r>
      <w:r>
        <w:rPr>
          <w:rFonts w:hint="eastAsia"/>
          <w:szCs w:val="21"/>
          <w:highlight w:val="none"/>
        </w:rPr>
        <w:t>。</w:t>
      </w:r>
    </w:p>
    <w:p>
      <w:pPr>
        <w:pStyle w:val="21"/>
        <w:ind w:firstLine="210"/>
        <w:rPr>
          <w:highlight w:val="none"/>
          <w:lang w:val="en-US"/>
        </w:rPr>
      </w:pPr>
    </w:p>
    <w:p>
      <w:pPr>
        <w:spacing w:line="360" w:lineRule="auto"/>
        <w:ind w:firstLine="2640" w:firstLineChars="1200"/>
        <w:jc w:val="right"/>
        <w:rPr>
          <w:rFonts w:hint="eastAsia"/>
          <w:szCs w:val="21"/>
          <w:highlight w:val="none"/>
        </w:rPr>
      </w:pPr>
    </w:p>
    <w:p>
      <w:pPr>
        <w:spacing w:line="360" w:lineRule="auto"/>
        <w:ind w:firstLine="2640" w:firstLineChars="1200"/>
        <w:jc w:val="right"/>
        <w:rPr>
          <w:szCs w:val="21"/>
          <w:highlight w:val="none"/>
          <w:u w:val="single"/>
        </w:rPr>
      </w:pPr>
      <w:r>
        <w:rPr>
          <w:rFonts w:hint="eastAsia"/>
          <w:szCs w:val="21"/>
          <w:highlight w:val="none"/>
        </w:rPr>
        <w:t>投标人名称（加盖公章）：</w:t>
      </w:r>
    </w:p>
    <w:p>
      <w:pPr>
        <w:spacing w:line="360" w:lineRule="auto"/>
        <w:ind w:firstLine="2640" w:firstLineChars="1200"/>
        <w:jc w:val="right"/>
        <w:rPr>
          <w:szCs w:val="21"/>
          <w:highlight w:val="none"/>
          <w:u w:val="single"/>
        </w:rPr>
      </w:pPr>
      <w:r>
        <w:rPr>
          <w:rFonts w:hint="eastAsia"/>
          <w:szCs w:val="21"/>
          <w:highlight w:val="none"/>
        </w:rPr>
        <w:t>投标人法定代表人或委托代理人签字：</w:t>
      </w:r>
    </w:p>
    <w:p>
      <w:pPr>
        <w:widowControl/>
        <w:ind w:firstLine="2860" w:firstLineChars="1300"/>
        <w:jc w:val="right"/>
        <w:rPr>
          <w:szCs w:val="21"/>
          <w:highlight w:val="none"/>
        </w:rPr>
      </w:pPr>
      <w:r>
        <w:rPr>
          <w:szCs w:val="21"/>
          <w:highlight w:val="none"/>
        </w:rPr>
        <w:t xml:space="preserve"> 日期: </w:t>
      </w:r>
      <w:r>
        <w:rPr>
          <w:rFonts w:hint="eastAsia"/>
          <w:szCs w:val="21"/>
          <w:highlight w:val="none"/>
          <w:u w:val="single"/>
        </w:rPr>
        <w:t xml:space="preserve">     </w:t>
      </w:r>
      <w:r>
        <w:rPr>
          <w:rFonts w:hint="eastAsia"/>
          <w:szCs w:val="21"/>
          <w:highlight w:val="none"/>
        </w:rPr>
        <w:t>年</w:t>
      </w:r>
      <w:r>
        <w:rPr>
          <w:rFonts w:hint="eastAsia"/>
          <w:szCs w:val="21"/>
          <w:highlight w:val="none"/>
          <w:u w:val="single"/>
        </w:rPr>
        <w:t xml:space="preserve">     </w:t>
      </w:r>
      <w:r>
        <w:rPr>
          <w:rFonts w:hint="eastAsia"/>
          <w:szCs w:val="21"/>
          <w:highlight w:val="none"/>
        </w:rPr>
        <w:t>月</w:t>
      </w:r>
      <w:r>
        <w:rPr>
          <w:rFonts w:hint="eastAsia"/>
          <w:szCs w:val="21"/>
          <w:highlight w:val="none"/>
          <w:u w:val="single"/>
        </w:rPr>
        <w:t xml:space="preserve">     </w:t>
      </w:r>
      <w:r>
        <w:rPr>
          <w:rFonts w:hint="eastAsia"/>
          <w:szCs w:val="21"/>
          <w:highlight w:val="none"/>
        </w:rPr>
        <w:t>日</w:t>
      </w:r>
    </w:p>
    <w:p>
      <w:pPr>
        <w:rPr>
          <w:sz w:val="24"/>
          <w:highlight w:val="none"/>
          <w:u w:val="single"/>
        </w:rPr>
      </w:pPr>
    </w:p>
    <w:sectPr>
      <w:footerReference r:id="rId7" w:type="default"/>
      <w:pgSz w:w="12240" w:h="15840"/>
      <w:pgMar w:top="1400" w:right="1100" w:bottom="1120" w:left="1400" w:header="0" w:footer="841"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_x0000_s2053" o:spid="_x0000_s2053"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path/>
          <v:fill on="f" focussize="0,0"/>
          <v:stroke on="f" weight="0.5pt" joinstyle="miter"/>
          <v:imagedata o:title=""/>
          <o:lock v:ext="edit"/>
          <v:textbox inset="0mm,0mm,0mm,0mm" style="mso-fit-shape-to-text:t;">
            <w:txbxContent>
              <w:p>
                <w:pPr>
                  <w:pStyle w:val="15"/>
                </w:pPr>
                <w:r>
                  <w:fldChar w:fldCharType="begin"/>
                </w:r>
                <w:r>
                  <w:instrText xml:space="preserve"> PAGE  \* MERGEFORMAT </w:instrText>
                </w:r>
                <w:r>
                  <w:fldChar w:fldCharType="separate"/>
                </w:r>
                <w:r>
                  <w:t>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rPr>
        <w:sz w:val="12"/>
      </w:rPr>
    </w:pPr>
    <w:r>
      <w:pict>
        <v:shape id="文本框 1" o:spid="_x0000_s2052" o:spt="202" type="#_x0000_t202" style="position:absolute;left:0pt;margin-top:734.9pt;height:11pt;width:13.15pt;mso-position-horizontal:center;mso-position-horizontal-relative:margin;mso-position-vertical-relative:page;z-index:251659264;mso-width-relative:page;mso-height-relative:page;" filled="f" stroked="f" coordsize="21600,21600" o:gfxdata="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KdVgdtcAAAAJAQAADwAA&#10;AAAAAAABACAAAAAiAAAAZHJzL2Rvd25yZXYueG1sUEsBAhQAFAAAAAgAh07iQF+PC3alAQAALAMA&#10;AA4AAAAAAAAAAQAgAAAAJgEAAGRycy9lMm9Eb2MueG1sUEsFBgAAAAAGAAYAWQEAAD0FAAAAAA==&#10;">
          <v:path/>
          <v:fill on="f" focussize="0,0"/>
          <v:stroke on="f" joinstyle="miter"/>
          <v:imagedata o:title=""/>
          <o:lock v:ext="edit"/>
          <v:textbox inset="0mm,0mm,0mm,0mm">
            <w:txbxContent>
              <w:p>
                <w:pPr>
                  <w:spacing w:line="203" w:lineRule="exact"/>
                  <w:ind w:left="40"/>
                  <w:rPr>
                    <w:rFonts w:ascii="Calibri"/>
                    <w:sz w:val="18"/>
                  </w:rPr>
                </w:pPr>
                <w:r>
                  <w:fldChar w:fldCharType="begin"/>
                </w:r>
                <w:r>
                  <w:rPr>
                    <w:rFonts w:ascii="Calibri"/>
                    <w:sz w:val="18"/>
                  </w:rPr>
                  <w:instrText xml:space="preserve"> PAGE </w:instrText>
                </w:r>
                <w:r>
                  <w:fldChar w:fldCharType="separate"/>
                </w:r>
                <w:r>
                  <w:rPr>
                    <w:rFonts w:ascii="Calibri"/>
                    <w:sz w:val="18"/>
                  </w:rPr>
                  <w:t>5</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rPr>
        <w:sz w:val="12"/>
      </w:rPr>
    </w:pPr>
    <w:r>
      <w:rPr>
        <w:sz w:val="12"/>
      </w:rPr>
      <w:pict>
        <v:shape id="_x0000_s2051" o:spid="_x0000_s2051"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LFPAVAgAAEwQAAA4AAABkcnMvZTJvRG9jLnhtbK1TTY7TMBTeI3EH&#10;y3uatIhRp2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PLFPAVAgAAEwQAAA4AAAAAAAAA&#10;AQAgAAAAHwEAAGRycy9lMm9Eb2MueG1sUEsFBgAAAAAGAAYAWQEAAKYFAAAAAA==&#10;">
          <v:path/>
          <v:fill on="f" focussize="0,0"/>
          <v:stroke on="f" weight="0.5pt" joinstyle="miter"/>
          <v:imagedata o:title=""/>
          <o:lock v:ext="edit"/>
          <v:textbox inset="0mm,0mm,0mm,0mm" style="mso-fit-shape-to-text:t;">
            <w:txbxContent>
              <w:p>
                <w:pPr>
                  <w:pStyle w:val="15"/>
                </w:pPr>
                <w:r>
                  <w:fldChar w:fldCharType="begin"/>
                </w:r>
                <w:r>
                  <w:instrText xml:space="preserve"> PAGE  \* MERGEFORMAT </w:instrText>
                </w:r>
                <w:r>
                  <w:fldChar w:fldCharType="separate"/>
                </w:r>
                <w:r>
                  <w:t>77</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rPr>
        <w:sz w:val="12"/>
      </w:rPr>
    </w:pPr>
    <w:r>
      <w:rPr>
        <w:sz w:val="12"/>
      </w:rPr>
      <w:pict>
        <v:shape id="_x0000_s2050" o:spid="_x0000_s2050"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j4BmRQCAAAVBAAADgAAAAAAAAAB&#10;ACAAAAAfAQAAZHJzL2Uyb0RvYy54bWxQSwUGAAAAAAYABgBZAQAApQUAAAAA&#10;">
          <v:path/>
          <v:fill on="f" focussize="0,0"/>
          <v:stroke on="f" weight="0.5pt" joinstyle="miter"/>
          <v:imagedata o:title=""/>
          <o:lock v:ext="edit"/>
          <v:textbox inset="0mm,0mm,0mm,0mm" style="mso-fit-shape-to-text:t;">
            <w:txbxContent>
              <w:p>
                <w:pPr>
                  <w:pStyle w:val="15"/>
                </w:pPr>
                <w:r>
                  <w:fldChar w:fldCharType="begin"/>
                </w:r>
                <w:r>
                  <w:instrText xml:space="preserve"> PAGE  \* MERGEFORMAT </w:instrText>
                </w:r>
                <w:r>
                  <w:fldChar w:fldCharType="separate"/>
                </w:r>
                <w:r>
                  <w:t>78</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rPr>
        <w:sz w:val="12"/>
      </w:rPr>
    </w:pPr>
    <w:r>
      <w:rPr>
        <w:sz w:val="12"/>
      </w:rPr>
      <w:pict>
        <v:shape id="_x0000_s2049" o:spid="_x0000_s2049"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doX50UAgAAFQQAAA4AAABkcnMvZTJvRG9jLnhtbK1Ty47TMBTdI/EP&#10;lvc0aYFR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RtKNFPY0enH99PPh9OvbwQ6ANRaP4PfxsIzdO9MB+dB76GMc3eV&#10;U/HGRAR2QH28wCu6QHgMmk6m0xwmDtvwQP7sMdw6H94Lo0gUCuqwvwQrO6x96F0Hl1hNm1UjZdqh&#10;1KQt6NXrt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B2hfnRQCAAAVBAAADgAAAAAAAAAB&#10;ACAAAAAfAQAAZHJzL2Uyb0RvYy54bWxQSwUGAAAAAAYABgBZAQAApQUAAAAA&#10;">
          <v:path/>
          <v:fill on="f" focussize="0,0"/>
          <v:stroke on="f" weight="0.5pt" joinstyle="miter"/>
          <v:imagedata o:title=""/>
          <o:lock v:ext="edit"/>
          <v:textbox inset="0mm,0mm,0mm,0mm" style="mso-fit-shape-to-text:t;">
            <w:txbxContent>
              <w:p>
                <w:pPr>
                  <w:pStyle w:val="15"/>
                </w:pPr>
                <w:r>
                  <w:fldChar w:fldCharType="begin"/>
                </w:r>
                <w:r>
                  <w:instrText xml:space="preserve"> PAGE  \* MERGEFORMAT </w:instrText>
                </w:r>
                <w:r>
                  <w:fldChar w:fldCharType="separate"/>
                </w:r>
                <w:r>
                  <w:t>80</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069109"/>
    <w:multiLevelType w:val="singleLevel"/>
    <w:tmpl w:val="85069109"/>
    <w:lvl w:ilvl="0" w:tentative="0">
      <w:start w:val="1"/>
      <w:numFmt w:val="decimal"/>
      <w:suff w:val="nothing"/>
      <w:lvlText w:val="（%1）"/>
      <w:lvlJc w:val="left"/>
    </w:lvl>
  </w:abstractNum>
  <w:abstractNum w:abstractNumId="1">
    <w:nsid w:val="8973DBBF"/>
    <w:multiLevelType w:val="singleLevel"/>
    <w:tmpl w:val="8973DBBF"/>
    <w:lvl w:ilvl="0" w:tentative="0">
      <w:start w:val="1"/>
      <w:numFmt w:val="decimal"/>
      <w:suff w:val="nothing"/>
      <w:lvlText w:val="%1．"/>
      <w:lvlJc w:val="left"/>
    </w:lvl>
  </w:abstractNum>
  <w:abstractNum w:abstractNumId="2">
    <w:nsid w:val="930EE254"/>
    <w:multiLevelType w:val="multilevel"/>
    <w:tmpl w:val="930EE254"/>
    <w:lvl w:ilvl="0" w:tentative="0">
      <w:start w:val="1"/>
      <w:numFmt w:val="decimal"/>
      <w:lvlText w:val="%1."/>
      <w:lvlJc w:val="left"/>
      <w:pPr>
        <w:ind w:left="1084" w:hanging="264"/>
      </w:pPr>
      <w:rPr>
        <w:rFonts w:hint="default" w:ascii="Times New Roman" w:hAnsi="Times New Roman" w:eastAsia="Times New Roman" w:cs="Times New Roman"/>
        <w:w w:val="100"/>
        <w:sz w:val="21"/>
        <w:szCs w:val="21"/>
        <w:lang w:val="zh-CN" w:eastAsia="zh-CN" w:bidi="zh-CN"/>
      </w:rPr>
    </w:lvl>
    <w:lvl w:ilvl="1" w:tentative="0">
      <w:start w:val="0"/>
      <w:numFmt w:val="bullet"/>
      <w:lvlText w:val="•"/>
      <w:lvlJc w:val="left"/>
      <w:pPr>
        <w:ind w:left="1946" w:hanging="264"/>
      </w:pPr>
      <w:rPr>
        <w:rFonts w:hint="default"/>
        <w:lang w:val="zh-CN" w:eastAsia="zh-CN" w:bidi="zh-CN"/>
      </w:rPr>
    </w:lvl>
    <w:lvl w:ilvl="2" w:tentative="0">
      <w:start w:val="0"/>
      <w:numFmt w:val="bullet"/>
      <w:lvlText w:val="•"/>
      <w:lvlJc w:val="left"/>
      <w:pPr>
        <w:ind w:left="2812" w:hanging="264"/>
      </w:pPr>
      <w:rPr>
        <w:rFonts w:hint="default"/>
        <w:lang w:val="zh-CN" w:eastAsia="zh-CN" w:bidi="zh-CN"/>
      </w:rPr>
    </w:lvl>
    <w:lvl w:ilvl="3" w:tentative="0">
      <w:start w:val="0"/>
      <w:numFmt w:val="bullet"/>
      <w:lvlText w:val="•"/>
      <w:lvlJc w:val="left"/>
      <w:pPr>
        <w:ind w:left="3678" w:hanging="264"/>
      </w:pPr>
      <w:rPr>
        <w:rFonts w:hint="default"/>
        <w:lang w:val="zh-CN" w:eastAsia="zh-CN" w:bidi="zh-CN"/>
      </w:rPr>
    </w:lvl>
    <w:lvl w:ilvl="4" w:tentative="0">
      <w:start w:val="0"/>
      <w:numFmt w:val="bullet"/>
      <w:lvlText w:val="•"/>
      <w:lvlJc w:val="left"/>
      <w:pPr>
        <w:ind w:left="4544" w:hanging="264"/>
      </w:pPr>
      <w:rPr>
        <w:rFonts w:hint="default"/>
        <w:lang w:val="zh-CN" w:eastAsia="zh-CN" w:bidi="zh-CN"/>
      </w:rPr>
    </w:lvl>
    <w:lvl w:ilvl="5" w:tentative="0">
      <w:start w:val="0"/>
      <w:numFmt w:val="bullet"/>
      <w:lvlText w:val="•"/>
      <w:lvlJc w:val="left"/>
      <w:pPr>
        <w:ind w:left="5410" w:hanging="264"/>
      </w:pPr>
      <w:rPr>
        <w:rFonts w:hint="default"/>
        <w:lang w:val="zh-CN" w:eastAsia="zh-CN" w:bidi="zh-CN"/>
      </w:rPr>
    </w:lvl>
    <w:lvl w:ilvl="6" w:tentative="0">
      <w:start w:val="0"/>
      <w:numFmt w:val="bullet"/>
      <w:lvlText w:val="•"/>
      <w:lvlJc w:val="left"/>
      <w:pPr>
        <w:ind w:left="6276" w:hanging="264"/>
      </w:pPr>
      <w:rPr>
        <w:rFonts w:hint="default"/>
        <w:lang w:val="zh-CN" w:eastAsia="zh-CN" w:bidi="zh-CN"/>
      </w:rPr>
    </w:lvl>
    <w:lvl w:ilvl="7" w:tentative="0">
      <w:start w:val="0"/>
      <w:numFmt w:val="bullet"/>
      <w:lvlText w:val="•"/>
      <w:lvlJc w:val="left"/>
      <w:pPr>
        <w:ind w:left="7142" w:hanging="264"/>
      </w:pPr>
      <w:rPr>
        <w:rFonts w:hint="default"/>
        <w:lang w:val="zh-CN" w:eastAsia="zh-CN" w:bidi="zh-CN"/>
      </w:rPr>
    </w:lvl>
    <w:lvl w:ilvl="8" w:tentative="0">
      <w:start w:val="0"/>
      <w:numFmt w:val="bullet"/>
      <w:lvlText w:val="•"/>
      <w:lvlJc w:val="left"/>
      <w:pPr>
        <w:ind w:left="8008" w:hanging="264"/>
      </w:pPr>
      <w:rPr>
        <w:rFonts w:hint="default"/>
        <w:lang w:val="zh-CN" w:eastAsia="zh-CN" w:bidi="zh-CN"/>
      </w:rPr>
    </w:lvl>
  </w:abstractNum>
  <w:abstractNum w:abstractNumId="3">
    <w:nsid w:val="A5435042"/>
    <w:multiLevelType w:val="multilevel"/>
    <w:tmpl w:val="A5435042"/>
    <w:lvl w:ilvl="0" w:tentative="0">
      <w:start w:val="1"/>
      <w:numFmt w:val="decimal"/>
      <w:lvlText w:val="%1."/>
      <w:lvlJc w:val="left"/>
      <w:pPr>
        <w:ind w:left="801" w:hanging="401"/>
      </w:pPr>
      <w:rPr>
        <w:rFonts w:hint="default" w:ascii="Times New Roman" w:hAnsi="Times New Roman" w:eastAsia="Times New Roman" w:cs="Times New Roman"/>
        <w:b/>
        <w:bCs/>
        <w:w w:val="99"/>
        <w:sz w:val="32"/>
        <w:szCs w:val="32"/>
        <w:lang w:val="zh-CN" w:eastAsia="zh-CN" w:bidi="zh-CN"/>
      </w:rPr>
    </w:lvl>
    <w:lvl w:ilvl="1" w:tentative="0">
      <w:start w:val="1"/>
      <w:numFmt w:val="decimal"/>
      <w:lvlText w:val="%1.%2"/>
      <w:lvlJc w:val="left"/>
      <w:pPr>
        <w:ind w:left="1026" w:hanging="490"/>
      </w:pPr>
      <w:rPr>
        <w:rFonts w:hint="default" w:ascii="Times New Roman" w:hAnsi="Times New Roman" w:eastAsia="Times New Roman" w:cs="Times New Roman"/>
        <w:w w:val="100"/>
        <w:sz w:val="28"/>
        <w:szCs w:val="28"/>
        <w:lang w:val="zh-CN" w:eastAsia="zh-CN" w:bidi="zh-CN"/>
      </w:rPr>
    </w:lvl>
    <w:lvl w:ilvl="2" w:tentative="0">
      <w:start w:val="1"/>
      <w:numFmt w:val="decimal"/>
      <w:lvlText w:val="%1.%2.%3"/>
      <w:lvlJc w:val="left"/>
      <w:pPr>
        <w:ind w:left="1346" w:hanging="526"/>
      </w:pPr>
      <w:rPr>
        <w:rFonts w:hint="default" w:ascii="Times New Roman" w:hAnsi="Times New Roman" w:eastAsia="Times New Roman" w:cs="Times New Roman"/>
        <w:w w:val="100"/>
        <w:sz w:val="21"/>
        <w:szCs w:val="21"/>
        <w:lang w:val="zh-CN" w:eastAsia="zh-CN" w:bidi="zh-CN"/>
      </w:rPr>
    </w:lvl>
    <w:lvl w:ilvl="3" w:tentative="0">
      <w:start w:val="0"/>
      <w:numFmt w:val="bullet"/>
      <w:lvlText w:val="•"/>
      <w:lvlJc w:val="left"/>
      <w:pPr>
        <w:ind w:left="1340" w:hanging="526"/>
      </w:pPr>
      <w:rPr>
        <w:rFonts w:hint="default"/>
        <w:lang w:val="zh-CN" w:eastAsia="zh-CN" w:bidi="zh-CN"/>
      </w:rPr>
    </w:lvl>
    <w:lvl w:ilvl="4" w:tentative="0">
      <w:start w:val="0"/>
      <w:numFmt w:val="bullet"/>
      <w:lvlText w:val="•"/>
      <w:lvlJc w:val="left"/>
      <w:pPr>
        <w:ind w:left="2540" w:hanging="526"/>
      </w:pPr>
      <w:rPr>
        <w:rFonts w:hint="default"/>
        <w:lang w:val="zh-CN" w:eastAsia="zh-CN" w:bidi="zh-CN"/>
      </w:rPr>
    </w:lvl>
    <w:lvl w:ilvl="5" w:tentative="0">
      <w:start w:val="0"/>
      <w:numFmt w:val="bullet"/>
      <w:lvlText w:val="•"/>
      <w:lvlJc w:val="left"/>
      <w:pPr>
        <w:ind w:left="3740" w:hanging="526"/>
      </w:pPr>
      <w:rPr>
        <w:rFonts w:hint="default"/>
        <w:lang w:val="zh-CN" w:eastAsia="zh-CN" w:bidi="zh-CN"/>
      </w:rPr>
    </w:lvl>
    <w:lvl w:ilvl="6" w:tentative="0">
      <w:start w:val="0"/>
      <w:numFmt w:val="bullet"/>
      <w:lvlText w:val="•"/>
      <w:lvlJc w:val="left"/>
      <w:pPr>
        <w:ind w:left="4940" w:hanging="526"/>
      </w:pPr>
      <w:rPr>
        <w:rFonts w:hint="default"/>
        <w:lang w:val="zh-CN" w:eastAsia="zh-CN" w:bidi="zh-CN"/>
      </w:rPr>
    </w:lvl>
    <w:lvl w:ilvl="7" w:tentative="0">
      <w:start w:val="0"/>
      <w:numFmt w:val="bullet"/>
      <w:lvlText w:val="•"/>
      <w:lvlJc w:val="left"/>
      <w:pPr>
        <w:ind w:left="6140" w:hanging="526"/>
      </w:pPr>
      <w:rPr>
        <w:rFonts w:hint="default"/>
        <w:lang w:val="zh-CN" w:eastAsia="zh-CN" w:bidi="zh-CN"/>
      </w:rPr>
    </w:lvl>
    <w:lvl w:ilvl="8" w:tentative="0">
      <w:start w:val="0"/>
      <w:numFmt w:val="bullet"/>
      <w:lvlText w:val="•"/>
      <w:lvlJc w:val="left"/>
      <w:pPr>
        <w:ind w:left="7340" w:hanging="526"/>
      </w:pPr>
      <w:rPr>
        <w:rFonts w:hint="default"/>
        <w:lang w:val="zh-CN" w:eastAsia="zh-CN" w:bidi="zh-CN"/>
      </w:rPr>
    </w:lvl>
  </w:abstractNum>
  <w:abstractNum w:abstractNumId="4">
    <w:nsid w:val="A97D620A"/>
    <w:multiLevelType w:val="multilevel"/>
    <w:tmpl w:val="A97D620A"/>
    <w:lvl w:ilvl="0" w:tentative="0">
      <w:start w:val="1"/>
      <w:numFmt w:val="decimal"/>
      <w:lvlText w:val="（%1）"/>
      <w:lvlJc w:val="left"/>
      <w:pPr>
        <w:ind w:left="1289" w:hanging="529"/>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126" w:hanging="529"/>
      </w:pPr>
      <w:rPr>
        <w:rFonts w:hint="default"/>
        <w:lang w:val="zh-CN" w:eastAsia="zh-CN" w:bidi="zh-CN"/>
      </w:rPr>
    </w:lvl>
    <w:lvl w:ilvl="2" w:tentative="0">
      <w:start w:val="0"/>
      <w:numFmt w:val="bullet"/>
      <w:lvlText w:val="•"/>
      <w:lvlJc w:val="left"/>
      <w:pPr>
        <w:ind w:left="2972" w:hanging="529"/>
      </w:pPr>
      <w:rPr>
        <w:rFonts w:hint="default"/>
        <w:lang w:val="zh-CN" w:eastAsia="zh-CN" w:bidi="zh-CN"/>
      </w:rPr>
    </w:lvl>
    <w:lvl w:ilvl="3" w:tentative="0">
      <w:start w:val="0"/>
      <w:numFmt w:val="bullet"/>
      <w:lvlText w:val="•"/>
      <w:lvlJc w:val="left"/>
      <w:pPr>
        <w:ind w:left="3818" w:hanging="529"/>
      </w:pPr>
      <w:rPr>
        <w:rFonts w:hint="default"/>
        <w:lang w:val="zh-CN" w:eastAsia="zh-CN" w:bidi="zh-CN"/>
      </w:rPr>
    </w:lvl>
    <w:lvl w:ilvl="4" w:tentative="0">
      <w:start w:val="0"/>
      <w:numFmt w:val="bullet"/>
      <w:lvlText w:val="•"/>
      <w:lvlJc w:val="left"/>
      <w:pPr>
        <w:ind w:left="4664" w:hanging="529"/>
      </w:pPr>
      <w:rPr>
        <w:rFonts w:hint="default"/>
        <w:lang w:val="zh-CN" w:eastAsia="zh-CN" w:bidi="zh-CN"/>
      </w:rPr>
    </w:lvl>
    <w:lvl w:ilvl="5" w:tentative="0">
      <w:start w:val="0"/>
      <w:numFmt w:val="bullet"/>
      <w:lvlText w:val="•"/>
      <w:lvlJc w:val="left"/>
      <w:pPr>
        <w:ind w:left="5510" w:hanging="529"/>
      </w:pPr>
      <w:rPr>
        <w:rFonts w:hint="default"/>
        <w:lang w:val="zh-CN" w:eastAsia="zh-CN" w:bidi="zh-CN"/>
      </w:rPr>
    </w:lvl>
    <w:lvl w:ilvl="6" w:tentative="0">
      <w:start w:val="0"/>
      <w:numFmt w:val="bullet"/>
      <w:lvlText w:val="•"/>
      <w:lvlJc w:val="left"/>
      <w:pPr>
        <w:ind w:left="6356" w:hanging="529"/>
      </w:pPr>
      <w:rPr>
        <w:rFonts w:hint="default"/>
        <w:lang w:val="zh-CN" w:eastAsia="zh-CN" w:bidi="zh-CN"/>
      </w:rPr>
    </w:lvl>
    <w:lvl w:ilvl="7" w:tentative="0">
      <w:start w:val="0"/>
      <w:numFmt w:val="bullet"/>
      <w:lvlText w:val="•"/>
      <w:lvlJc w:val="left"/>
      <w:pPr>
        <w:ind w:left="7202" w:hanging="529"/>
      </w:pPr>
      <w:rPr>
        <w:rFonts w:hint="default"/>
        <w:lang w:val="zh-CN" w:eastAsia="zh-CN" w:bidi="zh-CN"/>
      </w:rPr>
    </w:lvl>
    <w:lvl w:ilvl="8" w:tentative="0">
      <w:start w:val="0"/>
      <w:numFmt w:val="bullet"/>
      <w:lvlText w:val="•"/>
      <w:lvlJc w:val="left"/>
      <w:pPr>
        <w:ind w:left="8048" w:hanging="529"/>
      </w:pPr>
      <w:rPr>
        <w:rFonts w:hint="default"/>
        <w:lang w:val="zh-CN" w:eastAsia="zh-CN" w:bidi="zh-CN"/>
      </w:rPr>
    </w:lvl>
  </w:abstractNum>
  <w:abstractNum w:abstractNumId="5">
    <w:nsid w:val="AFBFBA50"/>
    <w:multiLevelType w:val="singleLevel"/>
    <w:tmpl w:val="AFBFBA50"/>
    <w:lvl w:ilvl="0" w:tentative="0">
      <w:start w:val="5"/>
      <w:numFmt w:val="chineseCounting"/>
      <w:suff w:val="space"/>
      <w:lvlText w:val="第%1章"/>
      <w:lvlJc w:val="left"/>
      <w:rPr>
        <w:rFonts w:hint="eastAsia"/>
      </w:rPr>
    </w:lvl>
  </w:abstractNum>
  <w:abstractNum w:abstractNumId="6">
    <w:nsid w:val="B08374AC"/>
    <w:multiLevelType w:val="multilevel"/>
    <w:tmpl w:val="B08374AC"/>
    <w:lvl w:ilvl="0" w:tentative="0">
      <w:start w:val="1"/>
      <w:numFmt w:val="decimal"/>
      <w:lvlText w:val="（%1）"/>
      <w:lvlJc w:val="left"/>
      <w:pPr>
        <w:ind w:left="1243" w:hanging="529"/>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090" w:hanging="529"/>
      </w:pPr>
      <w:rPr>
        <w:rFonts w:hint="default"/>
        <w:lang w:val="zh-CN" w:eastAsia="zh-CN" w:bidi="zh-CN"/>
      </w:rPr>
    </w:lvl>
    <w:lvl w:ilvl="2" w:tentative="0">
      <w:start w:val="0"/>
      <w:numFmt w:val="bullet"/>
      <w:lvlText w:val="•"/>
      <w:lvlJc w:val="left"/>
      <w:pPr>
        <w:ind w:left="2940" w:hanging="529"/>
      </w:pPr>
      <w:rPr>
        <w:rFonts w:hint="default"/>
        <w:lang w:val="zh-CN" w:eastAsia="zh-CN" w:bidi="zh-CN"/>
      </w:rPr>
    </w:lvl>
    <w:lvl w:ilvl="3" w:tentative="0">
      <w:start w:val="0"/>
      <w:numFmt w:val="bullet"/>
      <w:lvlText w:val="•"/>
      <w:lvlJc w:val="left"/>
      <w:pPr>
        <w:ind w:left="3790" w:hanging="529"/>
      </w:pPr>
      <w:rPr>
        <w:rFonts w:hint="default"/>
        <w:lang w:val="zh-CN" w:eastAsia="zh-CN" w:bidi="zh-CN"/>
      </w:rPr>
    </w:lvl>
    <w:lvl w:ilvl="4" w:tentative="0">
      <w:start w:val="0"/>
      <w:numFmt w:val="bullet"/>
      <w:lvlText w:val="•"/>
      <w:lvlJc w:val="left"/>
      <w:pPr>
        <w:ind w:left="4640" w:hanging="529"/>
      </w:pPr>
      <w:rPr>
        <w:rFonts w:hint="default"/>
        <w:lang w:val="zh-CN" w:eastAsia="zh-CN" w:bidi="zh-CN"/>
      </w:rPr>
    </w:lvl>
    <w:lvl w:ilvl="5" w:tentative="0">
      <w:start w:val="0"/>
      <w:numFmt w:val="bullet"/>
      <w:lvlText w:val="•"/>
      <w:lvlJc w:val="left"/>
      <w:pPr>
        <w:ind w:left="5490" w:hanging="529"/>
      </w:pPr>
      <w:rPr>
        <w:rFonts w:hint="default"/>
        <w:lang w:val="zh-CN" w:eastAsia="zh-CN" w:bidi="zh-CN"/>
      </w:rPr>
    </w:lvl>
    <w:lvl w:ilvl="6" w:tentative="0">
      <w:start w:val="0"/>
      <w:numFmt w:val="bullet"/>
      <w:lvlText w:val="•"/>
      <w:lvlJc w:val="left"/>
      <w:pPr>
        <w:ind w:left="6340" w:hanging="529"/>
      </w:pPr>
      <w:rPr>
        <w:rFonts w:hint="default"/>
        <w:lang w:val="zh-CN" w:eastAsia="zh-CN" w:bidi="zh-CN"/>
      </w:rPr>
    </w:lvl>
    <w:lvl w:ilvl="7" w:tentative="0">
      <w:start w:val="0"/>
      <w:numFmt w:val="bullet"/>
      <w:lvlText w:val="•"/>
      <w:lvlJc w:val="left"/>
      <w:pPr>
        <w:ind w:left="7190" w:hanging="529"/>
      </w:pPr>
      <w:rPr>
        <w:rFonts w:hint="default"/>
        <w:lang w:val="zh-CN" w:eastAsia="zh-CN" w:bidi="zh-CN"/>
      </w:rPr>
    </w:lvl>
    <w:lvl w:ilvl="8" w:tentative="0">
      <w:start w:val="0"/>
      <w:numFmt w:val="bullet"/>
      <w:lvlText w:val="•"/>
      <w:lvlJc w:val="left"/>
      <w:pPr>
        <w:ind w:left="8040" w:hanging="529"/>
      </w:pPr>
      <w:rPr>
        <w:rFonts w:hint="default"/>
        <w:lang w:val="zh-CN" w:eastAsia="zh-CN" w:bidi="zh-CN"/>
      </w:rPr>
    </w:lvl>
  </w:abstractNum>
  <w:abstractNum w:abstractNumId="7">
    <w:nsid w:val="B4E02BC3"/>
    <w:multiLevelType w:val="multilevel"/>
    <w:tmpl w:val="B4E02BC3"/>
    <w:lvl w:ilvl="0" w:tentative="0">
      <w:start w:val="3"/>
      <w:numFmt w:val="decimal"/>
      <w:lvlText w:val="%1"/>
      <w:lvlJc w:val="left"/>
      <w:pPr>
        <w:ind w:left="400" w:hanging="476"/>
      </w:pPr>
      <w:rPr>
        <w:rFonts w:hint="default"/>
        <w:lang w:val="zh-CN" w:eastAsia="zh-CN" w:bidi="zh-CN"/>
      </w:rPr>
    </w:lvl>
    <w:lvl w:ilvl="1" w:tentative="0">
      <w:start w:val="5"/>
      <w:numFmt w:val="decimal"/>
      <w:lvlText w:val="%1.%2"/>
      <w:lvlJc w:val="left"/>
      <w:pPr>
        <w:ind w:left="400" w:hanging="476"/>
        <w:jc w:val="right"/>
      </w:pPr>
      <w:rPr>
        <w:rFonts w:hint="default"/>
        <w:lang w:val="zh-CN" w:eastAsia="zh-CN" w:bidi="zh-CN"/>
      </w:rPr>
    </w:lvl>
    <w:lvl w:ilvl="2" w:tentative="0">
      <w:start w:val="2"/>
      <w:numFmt w:val="decimal"/>
      <w:lvlText w:val="%1.%2.%3"/>
      <w:lvlJc w:val="left"/>
      <w:pPr>
        <w:ind w:left="400" w:hanging="476"/>
      </w:pPr>
      <w:rPr>
        <w:rFonts w:hint="default" w:ascii="Times New Roman" w:hAnsi="Times New Roman" w:eastAsia="Times New Roman" w:cs="Times New Roman"/>
        <w:w w:val="100"/>
        <w:sz w:val="21"/>
        <w:szCs w:val="21"/>
        <w:lang w:val="zh-CN" w:eastAsia="zh-CN" w:bidi="zh-CN"/>
      </w:rPr>
    </w:lvl>
    <w:lvl w:ilvl="3" w:tentative="0">
      <w:start w:val="0"/>
      <w:numFmt w:val="bullet"/>
      <w:lvlText w:val="•"/>
      <w:lvlJc w:val="left"/>
      <w:pPr>
        <w:ind w:left="3202" w:hanging="476"/>
      </w:pPr>
      <w:rPr>
        <w:rFonts w:hint="default"/>
        <w:lang w:val="zh-CN" w:eastAsia="zh-CN" w:bidi="zh-CN"/>
      </w:rPr>
    </w:lvl>
    <w:lvl w:ilvl="4" w:tentative="0">
      <w:start w:val="0"/>
      <w:numFmt w:val="bullet"/>
      <w:lvlText w:val="•"/>
      <w:lvlJc w:val="left"/>
      <w:pPr>
        <w:ind w:left="4136" w:hanging="476"/>
      </w:pPr>
      <w:rPr>
        <w:rFonts w:hint="default"/>
        <w:lang w:val="zh-CN" w:eastAsia="zh-CN" w:bidi="zh-CN"/>
      </w:rPr>
    </w:lvl>
    <w:lvl w:ilvl="5" w:tentative="0">
      <w:start w:val="0"/>
      <w:numFmt w:val="bullet"/>
      <w:lvlText w:val="•"/>
      <w:lvlJc w:val="left"/>
      <w:pPr>
        <w:ind w:left="5070" w:hanging="476"/>
      </w:pPr>
      <w:rPr>
        <w:rFonts w:hint="default"/>
        <w:lang w:val="zh-CN" w:eastAsia="zh-CN" w:bidi="zh-CN"/>
      </w:rPr>
    </w:lvl>
    <w:lvl w:ilvl="6" w:tentative="0">
      <w:start w:val="0"/>
      <w:numFmt w:val="bullet"/>
      <w:lvlText w:val="•"/>
      <w:lvlJc w:val="left"/>
      <w:pPr>
        <w:ind w:left="6004" w:hanging="476"/>
      </w:pPr>
      <w:rPr>
        <w:rFonts w:hint="default"/>
        <w:lang w:val="zh-CN" w:eastAsia="zh-CN" w:bidi="zh-CN"/>
      </w:rPr>
    </w:lvl>
    <w:lvl w:ilvl="7" w:tentative="0">
      <w:start w:val="0"/>
      <w:numFmt w:val="bullet"/>
      <w:lvlText w:val="•"/>
      <w:lvlJc w:val="left"/>
      <w:pPr>
        <w:ind w:left="6938" w:hanging="476"/>
      </w:pPr>
      <w:rPr>
        <w:rFonts w:hint="default"/>
        <w:lang w:val="zh-CN" w:eastAsia="zh-CN" w:bidi="zh-CN"/>
      </w:rPr>
    </w:lvl>
    <w:lvl w:ilvl="8" w:tentative="0">
      <w:start w:val="0"/>
      <w:numFmt w:val="bullet"/>
      <w:lvlText w:val="•"/>
      <w:lvlJc w:val="left"/>
      <w:pPr>
        <w:ind w:left="7872" w:hanging="476"/>
      </w:pPr>
      <w:rPr>
        <w:rFonts w:hint="default"/>
        <w:lang w:val="zh-CN" w:eastAsia="zh-CN" w:bidi="zh-CN"/>
      </w:rPr>
    </w:lvl>
  </w:abstractNum>
  <w:abstractNum w:abstractNumId="8">
    <w:nsid w:val="B5601969"/>
    <w:multiLevelType w:val="multilevel"/>
    <w:tmpl w:val="B5601969"/>
    <w:lvl w:ilvl="0" w:tentative="0">
      <w:start w:val="1"/>
      <w:numFmt w:val="decimal"/>
      <w:lvlText w:val="（%1）"/>
      <w:lvlJc w:val="left"/>
      <w:pPr>
        <w:ind w:left="1349" w:hanging="529"/>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180" w:hanging="529"/>
      </w:pPr>
      <w:rPr>
        <w:rFonts w:hint="default"/>
        <w:lang w:val="zh-CN" w:eastAsia="zh-CN" w:bidi="zh-CN"/>
      </w:rPr>
    </w:lvl>
    <w:lvl w:ilvl="2" w:tentative="0">
      <w:start w:val="0"/>
      <w:numFmt w:val="bullet"/>
      <w:lvlText w:val="•"/>
      <w:lvlJc w:val="left"/>
      <w:pPr>
        <w:ind w:left="3020" w:hanging="529"/>
      </w:pPr>
      <w:rPr>
        <w:rFonts w:hint="default"/>
        <w:lang w:val="zh-CN" w:eastAsia="zh-CN" w:bidi="zh-CN"/>
      </w:rPr>
    </w:lvl>
    <w:lvl w:ilvl="3" w:tentative="0">
      <w:start w:val="0"/>
      <w:numFmt w:val="bullet"/>
      <w:lvlText w:val="•"/>
      <w:lvlJc w:val="left"/>
      <w:pPr>
        <w:ind w:left="3860" w:hanging="529"/>
      </w:pPr>
      <w:rPr>
        <w:rFonts w:hint="default"/>
        <w:lang w:val="zh-CN" w:eastAsia="zh-CN" w:bidi="zh-CN"/>
      </w:rPr>
    </w:lvl>
    <w:lvl w:ilvl="4" w:tentative="0">
      <w:start w:val="0"/>
      <w:numFmt w:val="bullet"/>
      <w:lvlText w:val="•"/>
      <w:lvlJc w:val="left"/>
      <w:pPr>
        <w:ind w:left="4700" w:hanging="529"/>
      </w:pPr>
      <w:rPr>
        <w:rFonts w:hint="default"/>
        <w:lang w:val="zh-CN" w:eastAsia="zh-CN" w:bidi="zh-CN"/>
      </w:rPr>
    </w:lvl>
    <w:lvl w:ilvl="5" w:tentative="0">
      <w:start w:val="0"/>
      <w:numFmt w:val="bullet"/>
      <w:lvlText w:val="•"/>
      <w:lvlJc w:val="left"/>
      <w:pPr>
        <w:ind w:left="5540" w:hanging="529"/>
      </w:pPr>
      <w:rPr>
        <w:rFonts w:hint="default"/>
        <w:lang w:val="zh-CN" w:eastAsia="zh-CN" w:bidi="zh-CN"/>
      </w:rPr>
    </w:lvl>
    <w:lvl w:ilvl="6" w:tentative="0">
      <w:start w:val="0"/>
      <w:numFmt w:val="bullet"/>
      <w:lvlText w:val="•"/>
      <w:lvlJc w:val="left"/>
      <w:pPr>
        <w:ind w:left="6380" w:hanging="529"/>
      </w:pPr>
      <w:rPr>
        <w:rFonts w:hint="default"/>
        <w:lang w:val="zh-CN" w:eastAsia="zh-CN" w:bidi="zh-CN"/>
      </w:rPr>
    </w:lvl>
    <w:lvl w:ilvl="7" w:tentative="0">
      <w:start w:val="0"/>
      <w:numFmt w:val="bullet"/>
      <w:lvlText w:val="•"/>
      <w:lvlJc w:val="left"/>
      <w:pPr>
        <w:ind w:left="7220" w:hanging="529"/>
      </w:pPr>
      <w:rPr>
        <w:rFonts w:hint="default"/>
        <w:lang w:val="zh-CN" w:eastAsia="zh-CN" w:bidi="zh-CN"/>
      </w:rPr>
    </w:lvl>
    <w:lvl w:ilvl="8" w:tentative="0">
      <w:start w:val="0"/>
      <w:numFmt w:val="bullet"/>
      <w:lvlText w:val="•"/>
      <w:lvlJc w:val="left"/>
      <w:pPr>
        <w:ind w:left="8060" w:hanging="529"/>
      </w:pPr>
      <w:rPr>
        <w:rFonts w:hint="default"/>
        <w:lang w:val="zh-CN" w:eastAsia="zh-CN" w:bidi="zh-CN"/>
      </w:rPr>
    </w:lvl>
  </w:abstractNum>
  <w:abstractNum w:abstractNumId="9">
    <w:nsid w:val="B73CA13B"/>
    <w:multiLevelType w:val="singleLevel"/>
    <w:tmpl w:val="B73CA13B"/>
    <w:lvl w:ilvl="0" w:tentative="0">
      <w:start w:val="1"/>
      <w:numFmt w:val="decimal"/>
      <w:lvlText w:val="%1."/>
      <w:lvlJc w:val="left"/>
      <w:pPr>
        <w:tabs>
          <w:tab w:val="left" w:pos="312"/>
        </w:tabs>
      </w:pPr>
    </w:lvl>
  </w:abstractNum>
  <w:abstractNum w:abstractNumId="10">
    <w:nsid w:val="C9412743"/>
    <w:multiLevelType w:val="multilevel"/>
    <w:tmpl w:val="C9412743"/>
    <w:lvl w:ilvl="0" w:tentative="0">
      <w:start w:val="1"/>
      <w:numFmt w:val="decimal"/>
      <w:lvlText w:val="%1."/>
      <w:lvlJc w:val="left"/>
      <w:pPr>
        <w:ind w:left="801" w:hanging="401"/>
      </w:pPr>
      <w:rPr>
        <w:rFonts w:hint="default" w:ascii="Times New Roman" w:hAnsi="Times New Roman" w:eastAsia="Times New Roman" w:cs="Times New Roman"/>
        <w:b/>
        <w:bCs/>
        <w:w w:val="99"/>
        <w:sz w:val="32"/>
        <w:szCs w:val="32"/>
        <w:lang w:val="zh-CN" w:eastAsia="zh-CN" w:bidi="zh-CN"/>
      </w:rPr>
    </w:lvl>
    <w:lvl w:ilvl="1" w:tentative="0">
      <w:start w:val="1"/>
      <w:numFmt w:val="decimal"/>
      <w:lvlText w:val="%1.%2"/>
      <w:lvlJc w:val="left"/>
      <w:pPr>
        <w:ind w:left="1026" w:hanging="490"/>
      </w:pPr>
      <w:rPr>
        <w:rFonts w:hint="default" w:ascii="Times New Roman" w:hAnsi="Times New Roman" w:eastAsia="Times New Roman" w:cs="Times New Roman"/>
        <w:w w:val="100"/>
        <w:sz w:val="28"/>
        <w:szCs w:val="28"/>
        <w:lang w:val="zh-CN" w:eastAsia="zh-CN" w:bidi="zh-CN"/>
      </w:rPr>
    </w:lvl>
    <w:lvl w:ilvl="2" w:tentative="0">
      <w:start w:val="1"/>
      <w:numFmt w:val="decimal"/>
      <w:lvlText w:val="%1.%2.%3"/>
      <w:lvlJc w:val="left"/>
      <w:pPr>
        <w:ind w:left="400" w:hanging="473"/>
      </w:pPr>
      <w:rPr>
        <w:rFonts w:hint="default" w:ascii="Times New Roman" w:hAnsi="Times New Roman" w:eastAsia="Times New Roman" w:cs="Times New Roman"/>
        <w:w w:val="100"/>
        <w:sz w:val="21"/>
        <w:szCs w:val="21"/>
        <w:lang w:val="zh-CN" w:eastAsia="zh-CN" w:bidi="zh-CN"/>
      </w:rPr>
    </w:lvl>
    <w:lvl w:ilvl="3" w:tentative="0">
      <w:start w:val="1"/>
      <w:numFmt w:val="decimal"/>
      <w:lvlText w:val="（%4）"/>
      <w:lvlJc w:val="left"/>
      <w:pPr>
        <w:ind w:left="1647" w:hanging="529"/>
      </w:pPr>
      <w:rPr>
        <w:rFonts w:hint="default" w:ascii="宋体" w:hAnsi="宋体" w:eastAsia="宋体" w:cs="宋体"/>
        <w:spacing w:val="-3"/>
        <w:w w:val="100"/>
        <w:sz w:val="19"/>
        <w:szCs w:val="19"/>
        <w:lang w:val="zh-CN" w:eastAsia="zh-CN" w:bidi="zh-CN"/>
      </w:rPr>
    </w:lvl>
    <w:lvl w:ilvl="4" w:tentative="0">
      <w:start w:val="0"/>
      <w:numFmt w:val="bullet"/>
      <w:lvlText w:val="•"/>
      <w:lvlJc w:val="left"/>
      <w:pPr>
        <w:ind w:left="1380" w:hanging="529"/>
      </w:pPr>
      <w:rPr>
        <w:rFonts w:hint="default"/>
        <w:lang w:val="zh-CN" w:eastAsia="zh-CN" w:bidi="zh-CN"/>
      </w:rPr>
    </w:lvl>
    <w:lvl w:ilvl="5" w:tentative="0">
      <w:start w:val="0"/>
      <w:numFmt w:val="bullet"/>
      <w:lvlText w:val="•"/>
      <w:lvlJc w:val="left"/>
      <w:pPr>
        <w:ind w:left="1640" w:hanging="529"/>
      </w:pPr>
      <w:rPr>
        <w:rFonts w:hint="default"/>
        <w:lang w:val="zh-CN" w:eastAsia="zh-CN" w:bidi="zh-CN"/>
      </w:rPr>
    </w:lvl>
    <w:lvl w:ilvl="6" w:tentative="0">
      <w:start w:val="0"/>
      <w:numFmt w:val="bullet"/>
      <w:lvlText w:val="•"/>
      <w:lvlJc w:val="left"/>
      <w:pPr>
        <w:ind w:left="3260" w:hanging="529"/>
      </w:pPr>
      <w:rPr>
        <w:rFonts w:hint="default"/>
        <w:lang w:val="zh-CN" w:eastAsia="zh-CN" w:bidi="zh-CN"/>
      </w:rPr>
    </w:lvl>
    <w:lvl w:ilvl="7" w:tentative="0">
      <w:start w:val="0"/>
      <w:numFmt w:val="bullet"/>
      <w:lvlText w:val="•"/>
      <w:lvlJc w:val="left"/>
      <w:pPr>
        <w:ind w:left="4880" w:hanging="529"/>
      </w:pPr>
      <w:rPr>
        <w:rFonts w:hint="default"/>
        <w:lang w:val="zh-CN" w:eastAsia="zh-CN" w:bidi="zh-CN"/>
      </w:rPr>
    </w:lvl>
    <w:lvl w:ilvl="8" w:tentative="0">
      <w:start w:val="0"/>
      <w:numFmt w:val="bullet"/>
      <w:lvlText w:val="•"/>
      <w:lvlJc w:val="left"/>
      <w:pPr>
        <w:ind w:left="6500" w:hanging="529"/>
      </w:pPr>
      <w:rPr>
        <w:rFonts w:hint="default"/>
        <w:lang w:val="zh-CN" w:eastAsia="zh-CN" w:bidi="zh-CN"/>
      </w:rPr>
    </w:lvl>
  </w:abstractNum>
  <w:abstractNum w:abstractNumId="11">
    <w:nsid w:val="D9B2FB02"/>
    <w:multiLevelType w:val="singleLevel"/>
    <w:tmpl w:val="D9B2FB02"/>
    <w:lvl w:ilvl="0" w:tentative="0">
      <w:start w:val="1"/>
      <w:numFmt w:val="chineseCounting"/>
      <w:suff w:val="nothing"/>
      <w:lvlText w:val="%1、"/>
      <w:lvlJc w:val="left"/>
      <w:rPr>
        <w:rFonts w:hint="eastAsia"/>
      </w:rPr>
    </w:lvl>
  </w:abstractNum>
  <w:abstractNum w:abstractNumId="12">
    <w:nsid w:val="DAE62134"/>
    <w:multiLevelType w:val="multilevel"/>
    <w:tmpl w:val="DAE62134"/>
    <w:lvl w:ilvl="0" w:tentative="0">
      <w:start w:val="1"/>
      <w:numFmt w:val="decimal"/>
      <w:lvlText w:val="（%1）"/>
      <w:lvlJc w:val="left"/>
      <w:pPr>
        <w:ind w:left="1349" w:hanging="529"/>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180" w:hanging="529"/>
      </w:pPr>
      <w:rPr>
        <w:rFonts w:hint="default"/>
        <w:lang w:val="zh-CN" w:eastAsia="zh-CN" w:bidi="zh-CN"/>
      </w:rPr>
    </w:lvl>
    <w:lvl w:ilvl="2" w:tentative="0">
      <w:start w:val="0"/>
      <w:numFmt w:val="bullet"/>
      <w:lvlText w:val="•"/>
      <w:lvlJc w:val="left"/>
      <w:pPr>
        <w:ind w:left="3020" w:hanging="529"/>
      </w:pPr>
      <w:rPr>
        <w:rFonts w:hint="default"/>
        <w:lang w:val="zh-CN" w:eastAsia="zh-CN" w:bidi="zh-CN"/>
      </w:rPr>
    </w:lvl>
    <w:lvl w:ilvl="3" w:tentative="0">
      <w:start w:val="0"/>
      <w:numFmt w:val="bullet"/>
      <w:lvlText w:val="•"/>
      <w:lvlJc w:val="left"/>
      <w:pPr>
        <w:ind w:left="3860" w:hanging="529"/>
      </w:pPr>
      <w:rPr>
        <w:rFonts w:hint="default"/>
        <w:lang w:val="zh-CN" w:eastAsia="zh-CN" w:bidi="zh-CN"/>
      </w:rPr>
    </w:lvl>
    <w:lvl w:ilvl="4" w:tentative="0">
      <w:start w:val="0"/>
      <w:numFmt w:val="bullet"/>
      <w:lvlText w:val="•"/>
      <w:lvlJc w:val="left"/>
      <w:pPr>
        <w:ind w:left="4700" w:hanging="529"/>
      </w:pPr>
      <w:rPr>
        <w:rFonts w:hint="default"/>
        <w:lang w:val="zh-CN" w:eastAsia="zh-CN" w:bidi="zh-CN"/>
      </w:rPr>
    </w:lvl>
    <w:lvl w:ilvl="5" w:tentative="0">
      <w:start w:val="0"/>
      <w:numFmt w:val="bullet"/>
      <w:lvlText w:val="•"/>
      <w:lvlJc w:val="left"/>
      <w:pPr>
        <w:ind w:left="5540" w:hanging="529"/>
      </w:pPr>
      <w:rPr>
        <w:rFonts w:hint="default"/>
        <w:lang w:val="zh-CN" w:eastAsia="zh-CN" w:bidi="zh-CN"/>
      </w:rPr>
    </w:lvl>
    <w:lvl w:ilvl="6" w:tentative="0">
      <w:start w:val="0"/>
      <w:numFmt w:val="bullet"/>
      <w:lvlText w:val="•"/>
      <w:lvlJc w:val="left"/>
      <w:pPr>
        <w:ind w:left="6380" w:hanging="529"/>
      </w:pPr>
      <w:rPr>
        <w:rFonts w:hint="default"/>
        <w:lang w:val="zh-CN" w:eastAsia="zh-CN" w:bidi="zh-CN"/>
      </w:rPr>
    </w:lvl>
    <w:lvl w:ilvl="7" w:tentative="0">
      <w:start w:val="0"/>
      <w:numFmt w:val="bullet"/>
      <w:lvlText w:val="•"/>
      <w:lvlJc w:val="left"/>
      <w:pPr>
        <w:ind w:left="7220" w:hanging="529"/>
      </w:pPr>
      <w:rPr>
        <w:rFonts w:hint="default"/>
        <w:lang w:val="zh-CN" w:eastAsia="zh-CN" w:bidi="zh-CN"/>
      </w:rPr>
    </w:lvl>
    <w:lvl w:ilvl="8" w:tentative="0">
      <w:start w:val="0"/>
      <w:numFmt w:val="bullet"/>
      <w:lvlText w:val="•"/>
      <w:lvlJc w:val="left"/>
      <w:pPr>
        <w:ind w:left="8060" w:hanging="529"/>
      </w:pPr>
      <w:rPr>
        <w:rFonts w:hint="default"/>
        <w:lang w:val="zh-CN" w:eastAsia="zh-CN" w:bidi="zh-CN"/>
      </w:rPr>
    </w:lvl>
  </w:abstractNum>
  <w:abstractNum w:abstractNumId="13">
    <w:nsid w:val="F8D22214"/>
    <w:multiLevelType w:val="singleLevel"/>
    <w:tmpl w:val="F8D22214"/>
    <w:lvl w:ilvl="0" w:tentative="0">
      <w:start w:val="1"/>
      <w:numFmt w:val="chineseCounting"/>
      <w:suff w:val="nothing"/>
      <w:lvlText w:val="%1、"/>
      <w:lvlJc w:val="left"/>
      <w:rPr>
        <w:rFonts w:hint="eastAsia"/>
      </w:rPr>
    </w:lvl>
  </w:abstractNum>
  <w:abstractNum w:abstractNumId="14">
    <w:nsid w:val="F9718D3C"/>
    <w:multiLevelType w:val="multilevel"/>
    <w:tmpl w:val="F9718D3C"/>
    <w:lvl w:ilvl="0" w:tentative="0">
      <w:start w:val="5"/>
      <w:numFmt w:val="decimal"/>
      <w:lvlText w:val="%1"/>
      <w:lvlJc w:val="left"/>
      <w:pPr>
        <w:ind w:left="1026" w:hanging="490"/>
      </w:pPr>
      <w:rPr>
        <w:rFonts w:hint="default"/>
        <w:lang w:val="zh-CN" w:eastAsia="zh-CN" w:bidi="zh-CN"/>
      </w:rPr>
    </w:lvl>
    <w:lvl w:ilvl="1" w:tentative="0">
      <w:start w:val="1"/>
      <w:numFmt w:val="decimal"/>
      <w:lvlText w:val="%1.%2"/>
      <w:lvlJc w:val="left"/>
      <w:pPr>
        <w:ind w:left="1026" w:hanging="490"/>
      </w:pPr>
      <w:rPr>
        <w:rFonts w:hint="default" w:ascii="Times New Roman" w:hAnsi="Times New Roman" w:eastAsia="Times New Roman" w:cs="Times New Roman"/>
        <w:w w:val="100"/>
        <w:sz w:val="28"/>
        <w:szCs w:val="28"/>
        <w:lang w:val="zh-CN" w:eastAsia="zh-CN" w:bidi="zh-CN"/>
      </w:rPr>
    </w:lvl>
    <w:lvl w:ilvl="2" w:tentative="0">
      <w:start w:val="1"/>
      <w:numFmt w:val="decimal"/>
      <w:lvlText w:val="（%3）"/>
      <w:lvlJc w:val="left"/>
      <w:pPr>
        <w:ind w:left="1349" w:hanging="529"/>
      </w:pPr>
      <w:rPr>
        <w:rFonts w:hint="default" w:ascii="宋体" w:hAnsi="宋体" w:eastAsia="宋体" w:cs="宋体"/>
        <w:spacing w:val="-3"/>
        <w:w w:val="100"/>
        <w:sz w:val="19"/>
        <w:szCs w:val="19"/>
        <w:lang w:val="zh-CN" w:eastAsia="zh-CN" w:bidi="zh-CN"/>
      </w:rPr>
    </w:lvl>
    <w:lvl w:ilvl="3" w:tentative="0">
      <w:start w:val="0"/>
      <w:numFmt w:val="bullet"/>
      <w:lvlText w:val="•"/>
      <w:lvlJc w:val="left"/>
      <w:pPr>
        <w:ind w:left="3206" w:hanging="529"/>
      </w:pPr>
      <w:rPr>
        <w:rFonts w:hint="default"/>
        <w:lang w:val="zh-CN" w:eastAsia="zh-CN" w:bidi="zh-CN"/>
      </w:rPr>
    </w:lvl>
    <w:lvl w:ilvl="4" w:tentative="0">
      <w:start w:val="0"/>
      <w:numFmt w:val="bullet"/>
      <w:lvlText w:val="•"/>
      <w:lvlJc w:val="left"/>
      <w:pPr>
        <w:ind w:left="4140" w:hanging="529"/>
      </w:pPr>
      <w:rPr>
        <w:rFonts w:hint="default"/>
        <w:lang w:val="zh-CN" w:eastAsia="zh-CN" w:bidi="zh-CN"/>
      </w:rPr>
    </w:lvl>
    <w:lvl w:ilvl="5" w:tentative="0">
      <w:start w:val="0"/>
      <w:numFmt w:val="bullet"/>
      <w:lvlText w:val="•"/>
      <w:lvlJc w:val="left"/>
      <w:pPr>
        <w:ind w:left="5073" w:hanging="529"/>
      </w:pPr>
      <w:rPr>
        <w:rFonts w:hint="default"/>
        <w:lang w:val="zh-CN" w:eastAsia="zh-CN" w:bidi="zh-CN"/>
      </w:rPr>
    </w:lvl>
    <w:lvl w:ilvl="6" w:tentative="0">
      <w:start w:val="0"/>
      <w:numFmt w:val="bullet"/>
      <w:lvlText w:val="•"/>
      <w:lvlJc w:val="left"/>
      <w:pPr>
        <w:ind w:left="6006" w:hanging="529"/>
      </w:pPr>
      <w:rPr>
        <w:rFonts w:hint="default"/>
        <w:lang w:val="zh-CN" w:eastAsia="zh-CN" w:bidi="zh-CN"/>
      </w:rPr>
    </w:lvl>
    <w:lvl w:ilvl="7" w:tentative="0">
      <w:start w:val="0"/>
      <w:numFmt w:val="bullet"/>
      <w:lvlText w:val="•"/>
      <w:lvlJc w:val="left"/>
      <w:pPr>
        <w:ind w:left="6940" w:hanging="529"/>
      </w:pPr>
      <w:rPr>
        <w:rFonts w:hint="default"/>
        <w:lang w:val="zh-CN" w:eastAsia="zh-CN" w:bidi="zh-CN"/>
      </w:rPr>
    </w:lvl>
    <w:lvl w:ilvl="8" w:tentative="0">
      <w:start w:val="0"/>
      <w:numFmt w:val="bullet"/>
      <w:lvlText w:val="•"/>
      <w:lvlJc w:val="left"/>
      <w:pPr>
        <w:ind w:left="7873" w:hanging="529"/>
      </w:pPr>
      <w:rPr>
        <w:rFonts w:hint="default"/>
        <w:lang w:val="zh-CN" w:eastAsia="zh-CN" w:bidi="zh-CN"/>
      </w:rPr>
    </w:lvl>
  </w:abstractNum>
  <w:abstractNum w:abstractNumId="15">
    <w:nsid w:val="07F5BCC3"/>
    <w:multiLevelType w:val="multilevel"/>
    <w:tmpl w:val="07F5BCC3"/>
    <w:lvl w:ilvl="0" w:tentative="0">
      <w:start w:val="3"/>
      <w:numFmt w:val="decimal"/>
      <w:lvlText w:val="%1"/>
      <w:lvlJc w:val="left"/>
      <w:pPr>
        <w:ind w:left="1026" w:hanging="490"/>
      </w:pPr>
      <w:rPr>
        <w:rFonts w:hint="default"/>
        <w:lang w:val="zh-CN" w:eastAsia="zh-CN" w:bidi="zh-CN"/>
      </w:rPr>
    </w:lvl>
    <w:lvl w:ilvl="1" w:tentative="0">
      <w:start w:val="5"/>
      <w:numFmt w:val="decimal"/>
      <w:lvlText w:val="%1.%2"/>
      <w:lvlJc w:val="left"/>
      <w:pPr>
        <w:ind w:left="1026" w:hanging="490"/>
      </w:pPr>
      <w:rPr>
        <w:rFonts w:hint="default" w:ascii="Times New Roman" w:hAnsi="Times New Roman" w:eastAsia="Times New Roman" w:cs="Times New Roman"/>
        <w:w w:val="100"/>
        <w:sz w:val="28"/>
        <w:szCs w:val="28"/>
        <w:lang w:val="zh-CN" w:eastAsia="zh-CN" w:bidi="zh-CN"/>
      </w:rPr>
    </w:lvl>
    <w:lvl w:ilvl="2" w:tentative="0">
      <w:start w:val="1"/>
      <w:numFmt w:val="decimal"/>
      <w:lvlText w:val="（%3）"/>
      <w:lvlJc w:val="left"/>
      <w:pPr>
        <w:ind w:left="400" w:hanging="529"/>
      </w:pPr>
      <w:rPr>
        <w:rFonts w:hint="default" w:ascii="宋体" w:hAnsi="宋体" w:eastAsia="宋体" w:cs="宋体"/>
        <w:spacing w:val="-51"/>
        <w:w w:val="100"/>
        <w:sz w:val="19"/>
        <w:szCs w:val="19"/>
        <w:lang w:val="zh-CN" w:eastAsia="zh-CN" w:bidi="zh-CN"/>
      </w:rPr>
    </w:lvl>
    <w:lvl w:ilvl="3" w:tentative="0">
      <w:start w:val="0"/>
      <w:numFmt w:val="bullet"/>
      <w:lvlText w:val="•"/>
      <w:lvlJc w:val="left"/>
      <w:pPr>
        <w:ind w:left="2957" w:hanging="529"/>
      </w:pPr>
      <w:rPr>
        <w:rFonts w:hint="default"/>
        <w:lang w:val="zh-CN" w:eastAsia="zh-CN" w:bidi="zh-CN"/>
      </w:rPr>
    </w:lvl>
    <w:lvl w:ilvl="4" w:tentative="0">
      <w:start w:val="0"/>
      <w:numFmt w:val="bullet"/>
      <w:lvlText w:val="•"/>
      <w:lvlJc w:val="left"/>
      <w:pPr>
        <w:ind w:left="3926" w:hanging="529"/>
      </w:pPr>
      <w:rPr>
        <w:rFonts w:hint="default"/>
        <w:lang w:val="zh-CN" w:eastAsia="zh-CN" w:bidi="zh-CN"/>
      </w:rPr>
    </w:lvl>
    <w:lvl w:ilvl="5" w:tentative="0">
      <w:start w:val="0"/>
      <w:numFmt w:val="bullet"/>
      <w:lvlText w:val="•"/>
      <w:lvlJc w:val="left"/>
      <w:pPr>
        <w:ind w:left="4895" w:hanging="529"/>
      </w:pPr>
      <w:rPr>
        <w:rFonts w:hint="default"/>
        <w:lang w:val="zh-CN" w:eastAsia="zh-CN" w:bidi="zh-CN"/>
      </w:rPr>
    </w:lvl>
    <w:lvl w:ilvl="6" w:tentative="0">
      <w:start w:val="0"/>
      <w:numFmt w:val="bullet"/>
      <w:lvlText w:val="•"/>
      <w:lvlJc w:val="left"/>
      <w:pPr>
        <w:ind w:left="5864" w:hanging="529"/>
      </w:pPr>
      <w:rPr>
        <w:rFonts w:hint="default"/>
        <w:lang w:val="zh-CN" w:eastAsia="zh-CN" w:bidi="zh-CN"/>
      </w:rPr>
    </w:lvl>
    <w:lvl w:ilvl="7" w:tentative="0">
      <w:start w:val="0"/>
      <w:numFmt w:val="bullet"/>
      <w:lvlText w:val="•"/>
      <w:lvlJc w:val="left"/>
      <w:pPr>
        <w:ind w:left="6833" w:hanging="529"/>
      </w:pPr>
      <w:rPr>
        <w:rFonts w:hint="default"/>
        <w:lang w:val="zh-CN" w:eastAsia="zh-CN" w:bidi="zh-CN"/>
      </w:rPr>
    </w:lvl>
    <w:lvl w:ilvl="8" w:tentative="0">
      <w:start w:val="0"/>
      <w:numFmt w:val="bullet"/>
      <w:lvlText w:val="•"/>
      <w:lvlJc w:val="left"/>
      <w:pPr>
        <w:ind w:left="7802" w:hanging="529"/>
      </w:pPr>
      <w:rPr>
        <w:rFonts w:hint="default"/>
        <w:lang w:val="zh-CN" w:eastAsia="zh-CN" w:bidi="zh-CN"/>
      </w:rPr>
    </w:lvl>
  </w:abstractNum>
  <w:abstractNum w:abstractNumId="16">
    <w:nsid w:val="1B3FCE26"/>
    <w:multiLevelType w:val="multilevel"/>
    <w:tmpl w:val="1B3FCE26"/>
    <w:lvl w:ilvl="0" w:tentative="0">
      <w:start w:val="4"/>
      <w:numFmt w:val="decimal"/>
      <w:lvlText w:val="%1"/>
      <w:lvlJc w:val="left"/>
      <w:pPr>
        <w:ind w:left="400" w:hanging="526"/>
      </w:pPr>
      <w:rPr>
        <w:rFonts w:hint="default"/>
        <w:lang w:val="zh-CN" w:eastAsia="zh-CN" w:bidi="zh-CN"/>
      </w:rPr>
    </w:lvl>
    <w:lvl w:ilvl="1" w:tentative="0">
      <w:start w:val="3"/>
      <w:numFmt w:val="decimal"/>
      <w:lvlText w:val="%1.%2"/>
      <w:lvlJc w:val="left"/>
      <w:pPr>
        <w:ind w:left="400" w:hanging="526"/>
      </w:pPr>
      <w:rPr>
        <w:rFonts w:hint="default"/>
        <w:lang w:val="zh-CN" w:eastAsia="zh-CN" w:bidi="zh-CN"/>
      </w:rPr>
    </w:lvl>
    <w:lvl w:ilvl="2" w:tentative="0">
      <w:start w:val="1"/>
      <w:numFmt w:val="decimal"/>
      <w:lvlText w:val="%1.%2.%3"/>
      <w:lvlJc w:val="left"/>
      <w:pPr>
        <w:ind w:left="400" w:hanging="526"/>
      </w:pPr>
      <w:rPr>
        <w:rFonts w:hint="default" w:ascii="Times New Roman" w:hAnsi="Times New Roman" w:eastAsia="Times New Roman" w:cs="Times New Roman"/>
        <w:w w:val="100"/>
        <w:sz w:val="21"/>
        <w:szCs w:val="21"/>
        <w:lang w:val="zh-CN" w:eastAsia="zh-CN" w:bidi="zh-CN"/>
      </w:rPr>
    </w:lvl>
    <w:lvl w:ilvl="3" w:tentative="0">
      <w:start w:val="0"/>
      <w:numFmt w:val="bullet"/>
      <w:lvlText w:val="•"/>
      <w:lvlJc w:val="left"/>
      <w:pPr>
        <w:ind w:left="3202" w:hanging="526"/>
      </w:pPr>
      <w:rPr>
        <w:rFonts w:hint="default"/>
        <w:lang w:val="zh-CN" w:eastAsia="zh-CN" w:bidi="zh-CN"/>
      </w:rPr>
    </w:lvl>
    <w:lvl w:ilvl="4" w:tentative="0">
      <w:start w:val="0"/>
      <w:numFmt w:val="bullet"/>
      <w:lvlText w:val="•"/>
      <w:lvlJc w:val="left"/>
      <w:pPr>
        <w:ind w:left="4136" w:hanging="526"/>
      </w:pPr>
      <w:rPr>
        <w:rFonts w:hint="default"/>
        <w:lang w:val="zh-CN" w:eastAsia="zh-CN" w:bidi="zh-CN"/>
      </w:rPr>
    </w:lvl>
    <w:lvl w:ilvl="5" w:tentative="0">
      <w:start w:val="0"/>
      <w:numFmt w:val="bullet"/>
      <w:lvlText w:val="•"/>
      <w:lvlJc w:val="left"/>
      <w:pPr>
        <w:ind w:left="5070" w:hanging="526"/>
      </w:pPr>
      <w:rPr>
        <w:rFonts w:hint="default"/>
        <w:lang w:val="zh-CN" w:eastAsia="zh-CN" w:bidi="zh-CN"/>
      </w:rPr>
    </w:lvl>
    <w:lvl w:ilvl="6" w:tentative="0">
      <w:start w:val="0"/>
      <w:numFmt w:val="bullet"/>
      <w:lvlText w:val="•"/>
      <w:lvlJc w:val="left"/>
      <w:pPr>
        <w:ind w:left="6004" w:hanging="526"/>
      </w:pPr>
      <w:rPr>
        <w:rFonts w:hint="default"/>
        <w:lang w:val="zh-CN" w:eastAsia="zh-CN" w:bidi="zh-CN"/>
      </w:rPr>
    </w:lvl>
    <w:lvl w:ilvl="7" w:tentative="0">
      <w:start w:val="0"/>
      <w:numFmt w:val="bullet"/>
      <w:lvlText w:val="•"/>
      <w:lvlJc w:val="left"/>
      <w:pPr>
        <w:ind w:left="6938" w:hanging="526"/>
      </w:pPr>
      <w:rPr>
        <w:rFonts w:hint="default"/>
        <w:lang w:val="zh-CN" w:eastAsia="zh-CN" w:bidi="zh-CN"/>
      </w:rPr>
    </w:lvl>
    <w:lvl w:ilvl="8" w:tentative="0">
      <w:start w:val="0"/>
      <w:numFmt w:val="bullet"/>
      <w:lvlText w:val="•"/>
      <w:lvlJc w:val="left"/>
      <w:pPr>
        <w:ind w:left="7872" w:hanging="526"/>
      </w:pPr>
      <w:rPr>
        <w:rFonts w:hint="default"/>
        <w:lang w:val="zh-CN" w:eastAsia="zh-CN" w:bidi="zh-CN"/>
      </w:rPr>
    </w:lvl>
  </w:abstractNum>
  <w:abstractNum w:abstractNumId="17">
    <w:nsid w:val="269945CE"/>
    <w:multiLevelType w:val="multilevel"/>
    <w:tmpl w:val="269945CE"/>
    <w:lvl w:ilvl="0" w:tentative="0">
      <w:start w:val="1"/>
      <w:numFmt w:val="decimal"/>
      <w:lvlText w:val="（%1）"/>
      <w:lvlJc w:val="left"/>
      <w:pPr>
        <w:ind w:left="1349" w:hanging="529"/>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180" w:hanging="529"/>
      </w:pPr>
      <w:rPr>
        <w:rFonts w:hint="default"/>
        <w:lang w:val="zh-CN" w:eastAsia="zh-CN" w:bidi="zh-CN"/>
      </w:rPr>
    </w:lvl>
    <w:lvl w:ilvl="2" w:tentative="0">
      <w:start w:val="0"/>
      <w:numFmt w:val="bullet"/>
      <w:lvlText w:val="•"/>
      <w:lvlJc w:val="left"/>
      <w:pPr>
        <w:ind w:left="3020" w:hanging="529"/>
      </w:pPr>
      <w:rPr>
        <w:rFonts w:hint="default"/>
        <w:lang w:val="zh-CN" w:eastAsia="zh-CN" w:bidi="zh-CN"/>
      </w:rPr>
    </w:lvl>
    <w:lvl w:ilvl="3" w:tentative="0">
      <w:start w:val="0"/>
      <w:numFmt w:val="bullet"/>
      <w:lvlText w:val="•"/>
      <w:lvlJc w:val="left"/>
      <w:pPr>
        <w:ind w:left="3860" w:hanging="529"/>
      </w:pPr>
      <w:rPr>
        <w:rFonts w:hint="default"/>
        <w:lang w:val="zh-CN" w:eastAsia="zh-CN" w:bidi="zh-CN"/>
      </w:rPr>
    </w:lvl>
    <w:lvl w:ilvl="4" w:tentative="0">
      <w:start w:val="0"/>
      <w:numFmt w:val="bullet"/>
      <w:lvlText w:val="•"/>
      <w:lvlJc w:val="left"/>
      <w:pPr>
        <w:ind w:left="4700" w:hanging="529"/>
      </w:pPr>
      <w:rPr>
        <w:rFonts w:hint="default"/>
        <w:lang w:val="zh-CN" w:eastAsia="zh-CN" w:bidi="zh-CN"/>
      </w:rPr>
    </w:lvl>
    <w:lvl w:ilvl="5" w:tentative="0">
      <w:start w:val="0"/>
      <w:numFmt w:val="bullet"/>
      <w:lvlText w:val="•"/>
      <w:lvlJc w:val="left"/>
      <w:pPr>
        <w:ind w:left="5540" w:hanging="529"/>
      </w:pPr>
      <w:rPr>
        <w:rFonts w:hint="default"/>
        <w:lang w:val="zh-CN" w:eastAsia="zh-CN" w:bidi="zh-CN"/>
      </w:rPr>
    </w:lvl>
    <w:lvl w:ilvl="6" w:tentative="0">
      <w:start w:val="0"/>
      <w:numFmt w:val="bullet"/>
      <w:lvlText w:val="•"/>
      <w:lvlJc w:val="left"/>
      <w:pPr>
        <w:ind w:left="6380" w:hanging="529"/>
      </w:pPr>
      <w:rPr>
        <w:rFonts w:hint="default"/>
        <w:lang w:val="zh-CN" w:eastAsia="zh-CN" w:bidi="zh-CN"/>
      </w:rPr>
    </w:lvl>
    <w:lvl w:ilvl="7" w:tentative="0">
      <w:start w:val="0"/>
      <w:numFmt w:val="bullet"/>
      <w:lvlText w:val="•"/>
      <w:lvlJc w:val="left"/>
      <w:pPr>
        <w:ind w:left="7220" w:hanging="529"/>
      </w:pPr>
      <w:rPr>
        <w:rFonts w:hint="default"/>
        <w:lang w:val="zh-CN" w:eastAsia="zh-CN" w:bidi="zh-CN"/>
      </w:rPr>
    </w:lvl>
    <w:lvl w:ilvl="8" w:tentative="0">
      <w:start w:val="0"/>
      <w:numFmt w:val="bullet"/>
      <w:lvlText w:val="•"/>
      <w:lvlJc w:val="left"/>
      <w:pPr>
        <w:ind w:left="8060" w:hanging="529"/>
      </w:pPr>
      <w:rPr>
        <w:rFonts w:hint="default"/>
        <w:lang w:val="zh-CN" w:eastAsia="zh-CN" w:bidi="zh-CN"/>
      </w:rPr>
    </w:lvl>
  </w:abstractNum>
  <w:abstractNum w:abstractNumId="18">
    <w:nsid w:val="274B8725"/>
    <w:multiLevelType w:val="singleLevel"/>
    <w:tmpl w:val="274B8725"/>
    <w:lvl w:ilvl="0" w:tentative="0">
      <w:start w:val="1"/>
      <w:numFmt w:val="decimal"/>
      <w:suff w:val="nothing"/>
      <w:lvlText w:val="%1、"/>
      <w:lvlJc w:val="left"/>
    </w:lvl>
  </w:abstractNum>
  <w:abstractNum w:abstractNumId="19">
    <w:nsid w:val="38EAC418"/>
    <w:multiLevelType w:val="multilevel"/>
    <w:tmpl w:val="38EAC418"/>
    <w:lvl w:ilvl="0" w:tentative="0">
      <w:start w:val="1"/>
      <w:numFmt w:val="decimal"/>
      <w:lvlText w:val="（%1）"/>
      <w:lvlJc w:val="left"/>
      <w:pPr>
        <w:ind w:left="1243" w:hanging="529"/>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090" w:hanging="529"/>
      </w:pPr>
      <w:rPr>
        <w:rFonts w:hint="default"/>
        <w:lang w:val="zh-CN" w:eastAsia="zh-CN" w:bidi="zh-CN"/>
      </w:rPr>
    </w:lvl>
    <w:lvl w:ilvl="2" w:tentative="0">
      <w:start w:val="0"/>
      <w:numFmt w:val="bullet"/>
      <w:lvlText w:val="•"/>
      <w:lvlJc w:val="left"/>
      <w:pPr>
        <w:ind w:left="2940" w:hanging="529"/>
      </w:pPr>
      <w:rPr>
        <w:rFonts w:hint="default"/>
        <w:lang w:val="zh-CN" w:eastAsia="zh-CN" w:bidi="zh-CN"/>
      </w:rPr>
    </w:lvl>
    <w:lvl w:ilvl="3" w:tentative="0">
      <w:start w:val="0"/>
      <w:numFmt w:val="bullet"/>
      <w:lvlText w:val="•"/>
      <w:lvlJc w:val="left"/>
      <w:pPr>
        <w:ind w:left="3790" w:hanging="529"/>
      </w:pPr>
      <w:rPr>
        <w:rFonts w:hint="default"/>
        <w:lang w:val="zh-CN" w:eastAsia="zh-CN" w:bidi="zh-CN"/>
      </w:rPr>
    </w:lvl>
    <w:lvl w:ilvl="4" w:tentative="0">
      <w:start w:val="0"/>
      <w:numFmt w:val="bullet"/>
      <w:lvlText w:val="•"/>
      <w:lvlJc w:val="left"/>
      <w:pPr>
        <w:ind w:left="4640" w:hanging="529"/>
      </w:pPr>
      <w:rPr>
        <w:rFonts w:hint="default"/>
        <w:lang w:val="zh-CN" w:eastAsia="zh-CN" w:bidi="zh-CN"/>
      </w:rPr>
    </w:lvl>
    <w:lvl w:ilvl="5" w:tentative="0">
      <w:start w:val="0"/>
      <w:numFmt w:val="bullet"/>
      <w:lvlText w:val="•"/>
      <w:lvlJc w:val="left"/>
      <w:pPr>
        <w:ind w:left="5490" w:hanging="529"/>
      </w:pPr>
      <w:rPr>
        <w:rFonts w:hint="default"/>
        <w:lang w:val="zh-CN" w:eastAsia="zh-CN" w:bidi="zh-CN"/>
      </w:rPr>
    </w:lvl>
    <w:lvl w:ilvl="6" w:tentative="0">
      <w:start w:val="0"/>
      <w:numFmt w:val="bullet"/>
      <w:lvlText w:val="•"/>
      <w:lvlJc w:val="left"/>
      <w:pPr>
        <w:ind w:left="6340" w:hanging="529"/>
      </w:pPr>
      <w:rPr>
        <w:rFonts w:hint="default"/>
        <w:lang w:val="zh-CN" w:eastAsia="zh-CN" w:bidi="zh-CN"/>
      </w:rPr>
    </w:lvl>
    <w:lvl w:ilvl="7" w:tentative="0">
      <w:start w:val="0"/>
      <w:numFmt w:val="bullet"/>
      <w:lvlText w:val="•"/>
      <w:lvlJc w:val="left"/>
      <w:pPr>
        <w:ind w:left="7190" w:hanging="529"/>
      </w:pPr>
      <w:rPr>
        <w:rFonts w:hint="default"/>
        <w:lang w:val="zh-CN" w:eastAsia="zh-CN" w:bidi="zh-CN"/>
      </w:rPr>
    </w:lvl>
    <w:lvl w:ilvl="8" w:tentative="0">
      <w:start w:val="0"/>
      <w:numFmt w:val="bullet"/>
      <w:lvlText w:val="•"/>
      <w:lvlJc w:val="left"/>
      <w:pPr>
        <w:ind w:left="8040" w:hanging="529"/>
      </w:pPr>
      <w:rPr>
        <w:rFonts w:hint="default"/>
        <w:lang w:val="zh-CN" w:eastAsia="zh-CN" w:bidi="zh-CN"/>
      </w:rPr>
    </w:lvl>
  </w:abstractNum>
  <w:abstractNum w:abstractNumId="20">
    <w:nsid w:val="5D1D68A5"/>
    <w:multiLevelType w:val="singleLevel"/>
    <w:tmpl w:val="5D1D68A5"/>
    <w:lvl w:ilvl="0" w:tentative="0">
      <w:start w:val="1"/>
      <w:numFmt w:val="decimal"/>
      <w:suff w:val="nothing"/>
      <w:lvlText w:val="（%1）"/>
      <w:lvlJc w:val="left"/>
    </w:lvl>
  </w:abstractNum>
  <w:abstractNum w:abstractNumId="21">
    <w:nsid w:val="64C0CB79"/>
    <w:multiLevelType w:val="multilevel"/>
    <w:tmpl w:val="64C0CB79"/>
    <w:lvl w:ilvl="0" w:tentative="0">
      <w:start w:val="1"/>
      <w:numFmt w:val="decimal"/>
      <w:lvlText w:val="（%1）"/>
      <w:lvlJc w:val="left"/>
      <w:pPr>
        <w:ind w:left="1335" w:hanging="529"/>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180" w:hanging="529"/>
      </w:pPr>
      <w:rPr>
        <w:rFonts w:hint="default"/>
        <w:lang w:val="zh-CN" w:eastAsia="zh-CN" w:bidi="zh-CN"/>
      </w:rPr>
    </w:lvl>
    <w:lvl w:ilvl="2" w:tentative="0">
      <w:start w:val="0"/>
      <w:numFmt w:val="bullet"/>
      <w:lvlText w:val="•"/>
      <w:lvlJc w:val="left"/>
      <w:pPr>
        <w:ind w:left="3020" w:hanging="529"/>
      </w:pPr>
      <w:rPr>
        <w:rFonts w:hint="default"/>
        <w:lang w:val="zh-CN" w:eastAsia="zh-CN" w:bidi="zh-CN"/>
      </w:rPr>
    </w:lvl>
    <w:lvl w:ilvl="3" w:tentative="0">
      <w:start w:val="0"/>
      <w:numFmt w:val="bullet"/>
      <w:lvlText w:val="•"/>
      <w:lvlJc w:val="left"/>
      <w:pPr>
        <w:ind w:left="3860" w:hanging="529"/>
      </w:pPr>
      <w:rPr>
        <w:rFonts w:hint="default"/>
        <w:lang w:val="zh-CN" w:eastAsia="zh-CN" w:bidi="zh-CN"/>
      </w:rPr>
    </w:lvl>
    <w:lvl w:ilvl="4" w:tentative="0">
      <w:start w:val="0"/>
      <w:numFmt w:val="bullet"/>
      <w:lvlText w:val="•"/>
      <w:lvlJc w:val="left"/>
      <w:pPr>
        <w:ind w:left="4700" w:hanging="529"/>
      </w:pPr>
      <w:rPr>
        <w:rFonts w:hint="default"/>
        <w:lang w:val="zh-CN" w:eastAsia="zh-CN" w:bidi="zh-CN"/>
      </w:rPr>
    </w:lvl>
    <w:lvl w:ilvl="5" w:tentative="0">
      <w:start w:val="0"/>
      <w:numFmt w:val="bullet"/>
      <w:lvlText w:val="•"/>
      <w:lvlJc w:val="left"/>
      <w:pPr>
        <w:ind w:left="5540" w:hanging="529"/>
      </w:pPr>
      <w:rPr>
        <w:rFonts w:hint="default"/>
        <w:lang w:val="zh-CN" w:eastAsia="zh-CN" w:bidi="zh-CN"/>
      </w:rPr>
    </w:lvl>
    <w:lvl w:ilvl="6" w:tentative="0">
      <w:start w:val="0"/>
      <w:numFmt w:val="bullet"/>
      <w:lvlText w:val="•"/>
      <w:lvlJc w:val="left"/>
      <w:pPr>
        <w:ind w:left="6380" w:hanging="529"/>
      </w:pPr>
      <w:rPr>
        <w:rFonts w:hint="default"/>
        <w:lang w:val="zh-CN" w:eastAsia="zh-CN" w:bidi="zh-CN"/>
      </w:rPr>
    </w:lvl>
    <w:lvl w:ilvl="7" w:tentative="0">
      <w:start w:val="0"/>
      <w:numFmt w:val="bullet"/>
      <w:lvlText w:val="•"/>
      <w:lvlJc w:val="left"/>
      <w:pPr>
        <w:ind w:left="7220" w:hanging="529"/>
      </w:pPr>
      <w:rPr>
        <w:rFonts w:hint="default"/>
        <w:lang w:val="zh-CN" w:eastAsia="zh-CN" w:bidi="zh-CN"/>
      </w:rPr>
    </w:lvl>
    <w:lvl w:ilvl="8" w:tentative="0">
      <w:start w:val="0"/>
      <w:numFmt w:val="bullet"/>
      <w:lvlText w:val="•"/>
      <w:lvlJc w:val="left"/>
      <w:pPr>
        <w:ind w:left="8060" w:hanging="529"/>
      </w:pPr>
      <w:rPr>
        <w:rFonts w:hint="default"/>
        <w:lang w:val="zh-CN" w:eastAsia="zh-CN" w:bidi="zh-CN"/>
      </w:rPr>
    </w:lvl>
  </w:abstractNum>
  <w:abstractNum w:abstractNumId="22">
    <w:nsid w:val="6AFC2A1C"/>
    <w:multiLevelType w:val="multilevel"/>
    <w:tmpl w:val="6AFC2A1C"/>
    <w:lvl w:ilvl="0" w:tentative="0">
      <w:start w:val="1"/>
      <w:numFmt w:val="decimal"/>
      <w:lvlText w:val="（%1）"/>
      <w:lvlJc w:val="left"/>
      <w:pPr>
        <w:ind w:left="400" w:hanging="529"/>
      </w:pPr>
      <w:rPr>
        <w:rFonts w:hint="default" w:ascii="宋体" w:hAnsi="宋体" w:eastAsia="宋体" w:cs="宋体"/>
        <w:spacing w:val="-13"/>
        <w:w w:val="100"/>
        <w:sz w:val="19"/>
        <w:szCs w:val="19"/>
        <w:lang w:val="zh-CN" w:eastAsia="zh-CN" w:bidi="zh-CN"/>
      </w:rPr>
    </w:lvl>
    <w:lvl w:ilvl="1" w:tentative="0">
      <w:start w:val="0"/>
      <w:numFmt w:val="bullet"/>
      <w:lvlText w:val="•"/>
      <w:lvlJc w:val="left"/>
      <w:pPr>
        <w:ind w:left="1334" w:hanging="529"/>
      </w:pPr>
      <w:rPr>
        <w:rFonts w:hint="default"/>
        <w:lang w:val="zh-CN" w:eastAsia="zh-CN" w:bidi="zh-CN"/>
      </w:rPr>
    </w:lvl>
    <w:lvl w:ilvl="2" w:tentative="0">
      <w:start w:val="0"/>
      <w:numFmt w:val="bullet"/>
      <w:lvlText w:val="•"/>
      <w:lvlJc w:val="left"/>
      <w:pPr>
        <w:ind w:left="2268" w:hanging="529"/>
      </w:pPr>
      <w:rPr>
        <w:rFonts w:hint="default"/>
        <w:lang w:val="zh-CN" w:eastAsia="zh-CN" w:bidi="zh-CN"/>
      </w:rPr>
    </w:lvl>
    <w:lvl w:ilvl="3" w:tentative="0">
      <w:start w:val="0"/>
      <w:numFmt w:val="bullet"/>
      <w:lvlText w:val="•"/>
      <w:lvlJc w:val="left"/>
      <w:pPr>
        <w:ind w:left="3202" w:hanging="529"/>
      </w:pPr>
      <w:rPr>
        <w:rFonts w:hint="default"/>
        <w:lang w:val="zh-CN" w:eastAsia="zh-CN" w:bidi="zh-CN"/>
      </w:rPr>
    </w:lvl>
    <w:lvl w:ilvl="4" w:tentative="0">
      <w:start w:val="0"/>
      <w:numFmt w:val="bullet"/>
      <w:lvlText w:val="•"/>
      <w:lvlJc w:val="left"/>
      <w:pPr>
        <w:ind w:left="4136" w:hanging="529"/>
      </w:pPr>
      <w:rPr>
        <w:rFonts w:hint="default"/>
        <w:lang w:val="zh-CN" w:eastAsia="zh-CN" w:bidi="zh-CN"/>
      </w:rPr>
    </w:lvl>
    <w:lvl w:ilvl="5" w:tentative="0">
      <w:start w:val="0"/>
      <w:numFmt w:val="bullet"/>
      <w:lvlText w:val="•"/>
      <w:lvlJc w:val="left"/>
      <w:pPr>
        <w:ind w:left="5070" w:hanging="529"/>
      </w:pPr>
      <w:rPr>
        <w:rFonts w:hint="default"/>
        <w:lang w:val="zh-CN" w:eastAsia="zh-CN" w:bidi="zh-CN"/>
      </w:rPr>
    </w:lvl>
    <w:lvl w:ilvl="6" w:tentative="0">
      <w:start w:val="0"/>
      <w:numFmt w:val="bullet"/>
      <w:lvlText w:val="•"/>
      <w:lvlJc w:val="left"/>
      <w:pPr>
        <w:ind w:left="6004" w:hanging="529"/>
      </w:pPr>
      <w:rPr>
        <w:rFonts w:hint="default"/>
        <w:lang w:val="zh-CN" w:eastAsia="zh-CN" w:bidi="zh-CN"/>
      </w:rPr>
    </w:lvl>
    <w:lvl w:ilvl="7" w:tentative="0">
      <w:start w:val="0"/>
      <w:numFmt w:val="bullet"/>
      <w:lvlText w:val="•"/>
      <w:lvlJc w:val="left"/>
      <w:pPr>
        <w:ind w:left="6938" w:hanging="529"/>
      </w:pPr>
      <w:rPr>
        <w:rFonts w:hint="default"/>
        <w:lang w:val="zh-CN" w:eastAsia="zh-CN" w:bidi="zh-CN"/>
      </w:rPr>
    </w:lvl>
    <w:lvl w:ilvl="8" w:tentative="0">
      <w:start w:val="0"/>
      <w:numFmt w:val="bullet"/>
      <w:lvlText w:val="•"/>
      <w:lvlJc w:val="left"/>
      <w:pPr>
        <w:ind w:left="7872" w:hanging="529"/>
      </w:pPr>
      <w:rPr>
        <w:rFonts w:hint="default"/>
        <w:lang w:val="zh-CN" w:eastAsia="zh-CN" w:bidi="zh-CN"/>
      </w:rPr>
    </w:lvl>
  </w:abstractNum>
  <w:abstractNum w:abstractNumId="23">
    <w:nsid w:val="6EBB0151"/>
    <w:multiLevelType w:val="singleLevel"/>
    <w:tmpl w:val="6EBB0151"/>
    <w:lvl w:ilvl="0" w:tentative="0">
      <w:start w:val="1"/>
      <w:numFmt w:val="decimal"/>
      <w:suff w:val="nothing"/>
      <w:lvlText w:val="%1）"/>
      <w:lvlJc w:val="left"/>
    </w:lvl>
  </w:abstractNum>
  <w:abstractNum w:abstractNumId="24">
    <w:nsid w:val="7499D7B3"/>
    <w:multiLevelType w:val="multilevel"/>
    <w:tmpl w:val="7499D7B3"/>
    <w:lvl w:ilvl="0" w:tentative="0">
      <w:start w:val="1"/>
      <w:numFmt w:val="decimal"/>
      <w:lvlText w:val="（%1）"/>
      <w:lvlJc w:val="left"/>
      <w:pPr>
        <w:ind w:left="400" w:hanging="533"/>
      </w:pPr>
      <w:rPr>
        <w:rFonts w:hint="default" w:ascii="宋体" w:hAnsi="宋体" w:eastAsia="宋体" w:cs="宋体"/>
        <w:spacing w:val="0"/>
        <w:w w:val="100"/>
        <w:sz w:val="19"/>
        <w:szCs w:val="19"/>
        <w:lang w:val="zh-CN" w:eastAsia="zh-CN" w:bidi="zh-CN"/>
      </w:rPr>
    </w:lvl>
    <w:lvl w:ilvl="1" w:tentative="0">
      <w:start w:val="0"/>
      <w:numFmt w:val="bullet"/>
      <w:lvlText w:val="•"/>
      <w:lvlJc w:val="left"/>
      <w:pPr>
        <w:ind w:left="1334" w:hanging="533"/>
      </w:pPr>
      <w:rPr>
        <w:rFonts w:hint="default"/>
        <w:lang w:val="zh-CN" w:eastAsia="zh-CN" w:bidi="zh-CN"/>
      </w:rPr>
    </w:lvl>
    <w:lvl w:ilvl="2" w:tentative="0">
      <w:start w:val="0"/>
      <w:numFmt w:val="bullet"/>
      <w:lvlText w:val="•"/>
      <w:lvlJc w:val="left"/>
      <w:pPr>
        <w:ind w:left="2268" w:hanging="533"/>
      </w:pPr>
      <w:rPr>
        <w:rFonts w:hint="default"/>
        <w:lang w:val="zh-CN" w:eastAsia="zh-CN" w:bidi="zh-CN"/>
      </w:rPr>
    </w:lvl>
    <w:lvl w:ilvl="3" w:tentative="0">
      <w:start w:val="0"/>
      <w:numFmt w:val="bullet"/>
      <w:lvlText w:val="•"/>
      <w:lvlJc w:val="left"/>
      <w:pPr>
        <w:ind w:left="3202" w:hanging="533"/>
      </w:pPr>
      <w:rPr>
        <w:rFonts w:hint="default"/>
        <w:lang w:val="zh-CN" w:eastAsia="zh-CN" w:bidi="zh-CN"/>
      </w:rPr>
    </w:lvl>
    <w:lvl w:ilvl="4" w:tentative="0">
      <w:start w:val="0"/>
      <w:numFmt w:val="bullet"/>
      <w:lvlText w:val="•"/>
      <w:lvlJc w:val="left"/>
      <w:pPr>
        <w:ind w:left="4136" w:hanging="533"/>
      </w:pPr>
      <w:rPr>
        <w:rFonts w:hint="default"/>
        <w:lang w:val="zh-CN" w:eastAsia="zh-CN" w:bidi="zh-CN"/>
      </w:rPr>
    </w:lvl>
    <w:lvl w:ilvl="5" w:tentative="0">
      <w:start w:val="0"/>
      <w:numFmt w:val="bullet"/>
      <w:lvlText w:val="•"/>
      <w:lvlJc w:val="left"/>
      <w:pPr>
        <w:ind w:left="5070" w:hanging="533"/>
      </w:pPr>
      <w:rPr>
        <w:rFonts w:hint="default"/>
        <w:lang w:val="zh-CN" w:eastAsia="zh-CN" w:bidi="zh-CN"/>
      </w:rPr>
    </w:lvl>
    <w:lvl w:ilvl="6" w:tentative="0">
      <w:start w:val="0"/>
      <w:numFmt w:val="bullet"/>
      <w:lvlText w:val="•"/>
      <w:lvlJc w:val="left"/>
      <w:pPr>
        <w:ind w:left="6004" w:hanging="533"/>
      </w:pPr>
      <w:rPr>
        <w:rFonts w:hint="default"/>
        <w:lang w:val="zh-CN" w:eastAsia="zh-CN" w:bidi="zh-CN"/>
      </w:rPr>
    </w:lvl>
    <w:lvl w:ilvl="7" w:tentative="0">
      <w:start w:val="0"/>
      <w:numFmt w:val="bullet"/>
      <w:lvlText w:val="•"/>
      <w:lvlJc w:val="left"/>
      <w:pPr>
        <w:ind w:left="6938" w:hanging="533"/>
      </w:pPr>
      <w:rPr>
        <w:rFonts w:hint="default"/>
        <w:lang w:val="zh-CN" w:eastAsia="zh-CN" w:bidi="zh-CN"/>
      </w:rPr>
    </w:lvl>
    <w:lvl w:ilvl="8" w:tentative="0">
      <w:start w:val="0"/>
      <w:numFmt w:val="bullet"/>
      <w:lvlText w:val="•"/>
      <w:lvlJc w:val="left"/>
      <w:pPr>
        <w:ind w:left="7872" w:hanging="533"/>
      </w:pPr>
      <w:rPr>
        <w:rFonts w:hint="default"/>
        <w:lang w:val="zh-CN" w:eastAsia="zh-CN" w:bidi="zh-CN"/>
      </w:rPr>
    </w:lvl>
  </w:abstractNum>
  <w:num w:numId="1">
    <w:abstractNumId w:val="0"/>
  </w:num>
  <w:num w:numId="2">
    <w:abstractNumId w:val="20"/>
  </w:num>
  <w:num w:numId="3">
    <w:abstractNumId w:val="18"/>
  </w:num>
  <w:num w:numId="4">
    <w:abstractNumId w:val="9"/>
  </w:num>
  <w:num w:numId="5">
    <w:abstractNumId w:val="10"/>
  </w:num>
  <w:num w:numId="6">
    <w:abstractNumId w:val="19"/>
  </w:num>
  <w:num w:numId="7">
    <w:abstractNumId w:val="22"/>
  </w:num>
  <w:num w:numId="8">
    <w:abstractNumId w:val="12"/>
  </w:num>
  <w:num w:numId="9">
    <w:abstractNumId w:val="4"/>
  </w:num>
  <w:num w:numId="10">
    <w:abstractNumId w:val="6"/>
  </w:num>
  <w:num w:numId="11">
    <w:abstractNumId w:val="15"/>
  </w:num>
  <w:num w:numId="12">
    <w:abstractNumId w:val="7"/>
  </w:num>
  <w:num w:numId="13">
    <w:abstractNumId w:val="16"/>
  </w:num>
  <w:num w:numId="14">
    <w:abstractNumId w:val="14"/>
  </w:num>
  <w:num w:numId="15">
    <w:abstractNumId w:val="3"/>
  </w:num>
  <w:num w:numId="16">
    <w:abstractNumId w:val="24"/>
  </w:num>
  <w:num w:numId="17">
    <w:abstractNumId w:val="17"/>
  </w:num>
  <w:num w:numId="18">
    <w:abstractNumId w:val="2"/>
  </w:num>
  <w:num w:numId="19">
    <w:abstractNumId w:val="8"/>
  </w:num>
  <w:num w:numId="20">
    <w:abstractNumId w:val="13"/>
  </w:num>
  <w:num w:numId="21">
    <w:abstractNumId w:val="5"/>
  </w:num>
  <w:num w:numId="22">
    <w:abstractNumId w:val="21"/>
  </w:num>
  <w:num w:numId="23">
    <w:abstractNumId w:val="1"/>
  </w:num>
  <w:num w:numId="24">
    <w:abstractNumId w:val="11"/>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AB0776"/>
    <w:rsid w:val="00076F1A"/>
    <w:rsid w:val="000966BF"/>
    <w:rsid w:val="000A077C"/>
    <w:rsid w:val="000A2385"/>
    <w:rsid w:val="000C2E1A"/>
    <w:rsid w:val="001732E0"/>
    <w:rsid w:val="00193DA4"/>
    <w:rsid w:val="00196018"/>
    <w:rsid w:val="001A1F5C"/>
    <w:rsid w:val="001A3662"/>
    <w:rsid w:val="001E2D04"/>
    <w:rsid w:val="001F5D7B"/>
    <w:rsid w:val="0021579E"/>
    <w:rsid w:val="002266CC"/>
    <w:rsid w:val="00227CBE"/>
    <w:rsid w:val="0023035B"/>
    <w:rsid w:val="002840DD"/>
    <w:rsid w:val="002A1B2E"/>
    <w:rsid w:val="002C7743"/>
    <w:rsid w:val="002E06E7"/>
    <w:rsid w:val="00320CB5"/>
    <w:rsid w:val="0032682A"/>
    <w:rsid w:val="00374387"/>
    <w:rsid w:val="00414DAA"/>
    <w:rsid w:val="00431FA1"/>
    <w:rsid w:val="00480B8B"/>
    <w:rsid w:val="004C65D8"/>
    <w:rsid w:val="00506A43"/>
    <w:rsid w:val="00511747"/>
    <w:rsid w:val="005403D9"/>
    <w:rsid w:val="00542F9D"/>
    <w:rsid w:val="00544E0A"/>
    <w:rsid w:val="00564A98"/>
    <w:rsid w:val="00596098"/>
    <w:rsid w:val="005C79CF"/>
    <w:rsid w:val="005E2AAC"/>
    <w:rsid w:val="005E4E23"/>
    <w:rsid w:val="005F0585"/>
    <w:rsid w:val="005F4E26"/>
    <w:rsid w:val="0063637C"/>
    <w:rsid w:val="00664537"/>
    <w:rsid w:val="006B56FA"/>
    <w:rsid w:val="006F6F06"/>
    <w:rsid w:val="00702985"/>
    <w:rsid w:val="007B4520"/>
    <w:rsid w:val="008817BB"/>
    <w:rsid w:val="00893F0C"/>
    <w:rsid w:val="008970FB"/>
    <w:rsid w:val="00906A57"/>
    <w:rsid w:val="0094071B"/>
    <w:rsid w:val="009B10F8"/>
    <w:rsid w:val="009B261D"/>
    <w:rsid w:val="009C472D"/>
    <w:rsid w:val="00A22172"/>
    <w:rsid w:val="00A5020A"/>
    <w:rsid w:val="00A60016"/>
    <w:rsid w:val="00A7778E"/>
    <w:rsid w:val="00A96346"/>
    <w:rsid w:val="00AA71D5"/>
    <w:rsid w:val="00AB0776"/>
    <w:rsid w:val="00AC18F0"/>
    <w:rsid w:val="00AC2460"/>
    <w:rsid w:val="00AC3759"/>
    <w:rsid w:val="00B26F6E"/>
    <w:rsid w:val="00B40FC0"/>
    <w:rsid w:val="00B47835"/>
    <w:rsid w:val="00B84E3C"/>
    <w:rsid w:val="00BE7803"/>
    <w:rsid w:val="00C55316"/>
    <w:rsid w:val="00C757F0"/>
    <w:rsid w:val="00C77295"/>
    <w:rsid w:val="00CA07D5"/>
    <w:rsid w:val="00CE6902"/>
    <w:rsid w:val="00D25787"/>
    <w:rsid w:val="00D563C2"/>
    <w:rsid w:val="00D913C8"/>
    <w:rsid w:val="00D95036"/>
    <w:rsid w:val="00DD075B"/>
    <w:rsid w:val="00E819D5"/>
    <w:rsid w:val="00E923FF"/>
    <w:rsid w:val="00EE199A"/>
    <w:rsid w:val="00F01787"/>
    <w:rsid w:val="00FA4357"/>
    <w:rsid w:val="010A6F25"/>
    <w:rsid w:val="012E0388"/>
    <w:rsid w:val="013735B8"/>
    <w:rsid w:val="0138601B"/>
    <w:rsid w:val="013D203B"/>
    <w:rsid w:val="01410DA0"/>
    <w:rsid w:val="01601BA9"/>
    <w:rsid w:val="016053AA"/>
    <w:rsid w:val="0177490D"/>
    <w:rsid w:val="017B06BB"/>
    <w:rsid w:val="017F092C"/>
    <w:rsid w:val="018F1349"/>
    <w:rsid w:val="01A8195B"/>
    <w:rsid w:val="01C767AB"/>
    <w:rsid w:val="01D02C4D"/>
    <w:rsid w:val="01D62847"/>
    <w:rsid w:val="01E72748"/>
    <w:rsid w:val="01FA42E7"/>
    <w:rsid w:val="02092D55"/>
    <w:rsid w:val="0223352D"/>
    <w:rsid w:val="02284F6B"/>
    <w:rsid w:val="023543B2"/>
    <w:rsid w:val="023661C6"/>
    <w:rsid w:val="02385F97"/>
    <w:rsid w:val="024113D3"/>
    <w:rsid w:val="02476EF7"/>
    <w:rsid w:val="024F6956"/>
    <w:rsid w:val="02627A2C"/>
    <w:rsid w:val="028763A9"/>
    <w:rsid w:val="029E78C5"/>
    <w:rsid w:val="02AF48E9"/>
    <w:rsid w:val="02B90017"/>
    <w:rsid w:val="02BB093D"/>
    <w:rsid w:val="02C72C4D"/>
    <w:rsid w:val="02D21918"/>
    <w:rsid w:val="02E64F10"/>
    <w:rsid w:val="02EA7C67"/>
    <w:rsid w:val="02F120DE"/>
    <w:rsid w:val="030E12CC"/>
    <w:rsid w:val="03195931"/>
    <w:rsid w:val="03391544"/>
    <w:rsid w:val="034276BF"/>
    <w:rsid w:val="03466FBD"/>
    <w:rsid w:val="034E3687"/>
    <w:rsid w:val="0350044F"/>
    <w:rsid w:val="0375756C"/>
    <w:rsid w:val="037843E1"/>
    <w:rsid w:val="037956A3"/>
    <w:rsid w:val="0380449D"/>
    <w:rsid w:val="0389188E"/>
    <w:rsid w:val="03902AF4"/>
    <w:rsid w:val="039F39FF"/>
    <w:rsid w:val="03C054E8"/>
    <w:rsid w:val="03C20D9E"/>
    <w:rsid w:val="03DB4D57"/>
    <w:rsid w:val="03E5084D"/>
    <w:rsid w:val="04063C01"/>
    <w:rsid w:val="0409025A"/>
    <w:rsid w:val="040E5A42"/>
    <w:rsid w:val="04126146"/>
    <w:rsid w:val="04151458"/>
    <w:rsid w:val="041D595A"/>
    <w:rsid w:val="0436400E"/>
    <w:rsid w:val="0455795B"/>
    <w:rsid w:val="04662C26"/>
    <w:rsid w:val="04693099"/>
    <w:rsid w:val="04700D03"/>
    <w:rsid w:val="04701B7F"/>
    <w:rsid w:val="047177BF"/>
    <w:rsid w:val="0478276D"/>
    <w:rsid w:val="047C0699"/>
    <w:rsid w:val="04832F4B"/>
    <w:rsid w:val="0492507C"/>
    <w:rsid w:val="0498443D"/>
    <w:rsid w:val="049C08B1"/>
    <w:rsid w:val="049F733F"/>
    <w:rsid w:val="04C01C40"/>
    <w:rsid w:val="04C71D6F"/>
    <w:rsid w:val="04F17F3C"/>
    <w:rsid w:val="04FF6277"/>
    <w:rsid w:val="050C3651"/>
    <w:rsid w:val="053160E1"/>
    <w:rsid w:val="054C4EAA"/>
    <w:rsid w:val="05547906"/>
    <w:rsid w:val="05596DF1"/>
    <w:rsid w:val="055D020C"/>
    <w:rsid w:val="05633F2B"/>
    <w:rsid w:val="056E7074"/>
    <w:rsid w:val="05757392"/>
    <w:rsid w:val="057923EB"/>
    <w:rsid w:val="057C4125"/>
    <w:rsid w:val="057C71DC"/>
    <w:rsid w:val="059027D7"/>
    <w:rsid w:val="05975148"/>
    <w:rsid w:val="05A141CD"/>
    <w:rsid w:val="05A239F3"/>
    <w:rsid w:val="05AC3637"/>
    <w:rsid w:val="05AF3A40"/>
    <w:rsid w:val="05C86FF4"/>
    <w:rsid w:val="05DA7DC4"/>
    <w:rsid w:val="05E331D8"/>
    <w:rsid w:val="05E429F6"/>
    <w:rsid w:val="05EB1930"/>
    <w:rsid w:val="06070DA8"/>
    <w:rsid w:val="061230AE"/>
    <w:rsid w:val="061F0A4E"/>
    <w:rsid w:val="0638760D"/>
    <w:rsid w:val="063E38EB"/>
    <w:rsid w:val="065F4F34"/>
    <w:rsid w:val="066A14BC"/>
    <w:rsid w:val="067A4E8E"/>
    <w:rsid w:val="067F4961"/>
    <w:rsid w:val="06873C85"/>
    <w:rsid w:val="06AE39FA"/>
    <w:rsid w:val="06AE495E"/>
    <w:rsid w:val="06BB3AAF"/>
    <w:rsid w:val="06BB726B"/>
    <w:rsid w:val="06C11F6A"/>
    <w:rsid w:val="06D5465D"/>
    <w:rsid w:val="06DD0F2F"/>
    <w:rsid w:val="06FA4ED9"/>
    <w:rsid w:val="06FB3E44"/>
    <w:rsid w:val="06FB668F"/>
    <w:rsid w:val="073438F0"/>
    <w:rsid w:val="073A56A7"/>
    <w:rsid w:val="073B3ABE"/>
    <w:rsid w:val="073D1A0D"/>
    <w:rsid w:val="073D349D"/>
    <w:rsid w:val="074169B2"/>
    <w:rsid w:val="074A5C2A"/>
    <w:rsid w:val="076A29DE"/>
    <w:rsid w:val="077159D6"/>
    <w:rsid w:val="077F0D84"/>
    <w:rsid w:val="078A0DA3"/>
    <w:rsid w:val="078B30B1"/>
    <w:rsid w:val="079C15AC"/>
    <w:rsid w:val="07AE1991"/>
    <w:rsid w:val="07B429C2"/>
    <w:rsid w:val="07B63CB5"/>
    <w:rsid w:val="07B817DC"/>
    <w:rsid w:val="07B82CEE"/>
    <w:rsid w:val="07BD212A"/>
    <w:rsid w:val="07C8043E"/>
    <w:rsid w:val="07C817B9"/>
    <w:rsid w:val="07D5146C"/>
    <w:rsid w:val="080F1518"/>
    <w:rsid w:val="08175BBC"/>
    <w:rsid w:val="081F4434"/>
    <w:rsid w:val="08254832"/>
    <w:rsid w:val="08437AD2"/>
    <w:rsid w:val="085742BA"/>
    <w:rsid w:val="08577078"/>
    <w:rsid w:val="08631D10"/>
    <w:rsid w:val="086E2081"/>
    <w:rsid w:val="087F1720"/>
    <w:rsid w:val="088414AA"/>
    <w:rsid w:val="08903A54"/>
    <w:rsid w:val="089B0AF8"/>
    <w:rsid w:val="089F21E7"/>
    <w:rsid w:val="08A666F7"/>
    <w:rsid w:val="08BC0F6D"/>
    <w:rsid w:val="08CD6D38"/>
    <w:rsid w:val="08D16A17"/>
    <w:rsid w:val="08D9110C"/>
    <w:rsid w:val="08E576D5"/>
    <w:rsid w:val="08EC36E5"/>
    <w:rsid w:val="08EF12BD"/>
    <w:rsid w:val="08F46ACE"/>
    <w:rsid w:val="08F7263B"/>
    <w:rsid w:val="091D3880"/>
    <w:rsid w:val="0945768A"/>
    <w:rsid w:val="0961582A"/>
    <w:rsid w:val="096A6C7E"/>
    <w:rsid w:val="098A4392"/>
    <w:rsid w:val="098A7844"/>
    <w:rsid w:val="09987AF2"/>
    <w:rsid w:val="099F3A0A"/>
    <w:rsid w:val="09A339E0"/>
    <w:rsid w:val="09A8674D"/>
    <w:rsid w:val="09D760C0"/>
    <w:rsid w:val="09FF16CB"/>
    <w:rsid w:val="0A0703A5"/>
    <w:rsid w:val="0A176D97"/>
    <w:rsid w:val="0A335E9A"/>
    <w:rsid w:val="0A33766F"/>
    <w:rsid w:val="0A380510"/>
    <w:rsid w:val="0A394B50"/>
    <w:rsid w:val="0A6F72C8"/>
    <w:rsid w:val="0A810F86"/>
    <w:rsid w:val="0A8500FC"/>
    <w:rsid w:val="0A9A4B94"/>
    <w:rsid w:val="0AA32D18"/>
    <w:rsid w:val="0AAD1318"/>
    <w:rsid w:val="0AB770C8"/>
    <w:rsid w:val="0AC30E0C"/>
    <w:rsid w:val="0AC56D18"/>
    <w:rsid w:val="0AD53617"/>
    <w:rsid w:val="0ADC4B6D"/>
    <w:rsid w:val="0AF84CAD"/>
    <w:rsid w:val="0B081845"/>
    <w:rsid w:val="0B13027C"/>
    <w:rsid w:val="0B1E5B35"/>
    <w:rsid w:val="0B281EBA"/>
    <w:rsid w:val="0B427828"/>
    <w:rsid w:val="0B5C33A0"/>
    <w:rsid w:val="0B977599"/>
    <w:rsid w:val="0B9C395C"/>
    <w:rsid w:val="0BA672DD"/>
    <w:rsid w:val="0BB92238"/>
    <w:rsid w:val="0BC33CC5"/>
    <w:rsid w:val="0BD87F49"/>
    <w:rsid w:val="0BED2B69"/>
    <w:rsid w:val="0C072A8A"/>
    <w:rsid w:val="0C164BBC"/>
    <w:rsid w:val="0C2205B6"/>
    <w:rsid w:val="0C22142E"/>
    <w:rsid w:val="0C32289A"/>
    <w:rsid w:val="0C532D4C"/>
    <w:rsid w:val="0C664504"/>
    <w:rsid w:val="0C720969"/>
    <w:rsid w:val="0C787C56"/>
    <w:rsid w:val="0C7C7DB8"/>
    <w:rsid w:val="0C802A25"/>
    <w:rsid w:val="0C864DB7"/>
    <w:rsid w:val="0C8A0BE5"/>
    <w:rsid w:val="0C905CCC"/>
    <w:rsid w:val="0C983682"/>
    <w:rsid w:val="0CAC6539"/>
    <w:rsid w:val="0CAE5646"/>
    <w:rsid w:val="0CB4735D"/>
    <w:rsid w:val="0CB86A4D"/>
    <w:rsid w:val="0CD80F35"/>
    <w:rsid w:val="0CDA0D04"/>
    <w:rsid w:val="0CDF3826"/>
    <w:rsid w:val="0CE2256D"/>
    <w:rsid w:val="0CE2757A"/>
    <w:rsid w:val="0CE62C56"/>
    <w:rsid w:val="0CE75E0B"/>
    <w:rsid w:val="0CE939E6"/>
    <w:rsid w:val="0D083D6A"/>
    <w:rsid w:val="0D0D51E5"/>
    <w:rsid w:val="0D1440CC"/>
    <w:rsid w:val="0D151E30"/>
    <w:rsid w:val="0D160392"/>
    <w:rsid w:val="0D241364"/>
    <w:rsid w:val="0D30332B"/>
    <w:rsid w:val="0D311329"/>
    <w:rsid w:val="0D31712B"/>
    <w:rsid w:val="0D371E81"/>
    <w:rsid w:val="0D477D64"/>
    <w:rsid w:val="0D4D14F9"/>
    <w:rsid w:val="0D5127FC"/>
    <w:rsid w:val="0D6127DA"/>
    <w:rsid w:val="0D6C4087"/>
    <w:rsid w:val="0D866A4A"/>
    <w:rsid w:val="0D9101BE"/>
    <w:rsid w:val="0D9E0C00"/>
    <w:rsid w:val="0DA2310B"/>
    <w:rsid w:val="0DAA6196"/>
    <w:rsid w:val="0DBC76E2"/>
    <w:rsid w:val="0DC0262B"/>
    <w:rsid w:val="0DD46BD8"/>
    <w:rsid w:val="0DE005AE"/>
    <w:rsid w:val="0DE74F1C"/>
    <w:rsid w:val="0DEA42A6"/>
    <w:rsid w:val="0E0556AF"/>
    <w:rsid w:val="0E11071B"/>
    <w:rsid w:val="0E246F9D"/>
    <w:rsid w:val="0E252EE3"/>
    <w:rsid w:val="0E294EEF"/>
    <w:rsid w:val="0E361DBD"/>
    <w:rsid w:val="0E493587"/>
    <w:rsid w:val="0E4E7EAE"/>
    <w:rsid w:val="0E5F76F0"/>
    <w:rsid w:val="0E6D7E61"/>
    <w:rsid w:val="0E8D1D89"/>
    <w:rsid w:val="0E994357"/>
    <w:rsid w:val="0EA619FD"/>
    <w:rsid w:val="0EB21591"/>
    <w:rsid w:val="0EC05511"/>
    <w:rsid w:val="0EC81BB6"/>
    <w:rsid w:val="0EC86099"/>
    <w:rsid w:val="0ECA3BE3"/>
    <w:rsid w:val="0ED90F31"/>
    <w:rsid w:val="0EDC4855"/>
    <w:rsid w:val="0EDD20C3"/>
    <w:rsid w:val="0EE96FC3"/>
    <w:rsid w:val="0F002878"/>
    <w:rsid w:val="0F025827"/>
    <w:rsid w:val="0F1473E0"/>
    <w:rsid w:val="0F2D3708"/>
    <w:rsid w:val="0F36432C"/>
    <w:rsid w:val="0F5767EC"/>
    <w:rsid w:val="0F652896"/>
    <w:rsid w:val="0F700ED8"/>
    <w:rsid w:val="0F712C9F"/>
    <w:rsid w:val="0F895314"/>
    <w:rsid w:val="0FA32960"/>
    <w:rsid w:val="0FA817E5"/>
    <w:rsid w:val="0FC2772D"/>
    <w:rsid w:val="0FEA152C"/>
    <w:rsid w:val="0FF20BA0"/>
    <w:rsid w:val="1013774C"/>
    <w:rsid w:val="101864C3"/>
    <w:rsid w:val="102B5103"/>
    <w:rsid w:val="102D540E"/>
    <w:rsid w:val="103954BC"/>
    <w:rsid w:val="10404087"/>
    <w:rsid w:val="104160E3"/>
    <w:rsid w:val="10547C36"/>
    <w:rsid w:val="105B794A"/>
    <w:rsid w:val="10785438"/>
    <w:rsid w:val="1081526F"/>
    <w:rsid w:val="108638F9"/>
    <w:rsid w:val="109614BB"/>
    <w:rsid w:val="109A0275"/>
    <w:rsid w:val="109C61B7"/>
    <w:rsid w:val="10BF6CF6"/>
    <w:rsid w:val="10D57A1C"/>
    <w:rsid w:val="10E907E6"/>
    <w:rsid w:val="10F12E6B"/>
    <w:rsid w:val="10F65BFF"/>
    <w:rsid w:val="10F90171"/>
    <w:rsid w:val="10F96344"/>
    <w:rsid w:val="10FD61E4"/>
    <w:rsid w:val="11102964"/>
    <w:rsid w:val="11217D79"/>
    <w:rsid w:val="112507DF"/>
    <w:rsid w:val="11356B1A"/>
    <w:rsid w:val="11446CB1"/>
    <w:rsid w:val="116303A3"/>
    <w:rsid w:val="11646C3D"/>
    <w:rsid w:val="118A7E7B"/>
    <w:rsid w:val="11A175F5"/>
    <w:rsid w:val="11B81CCF"/>
    <w:rsid w:val="11BD0B67"/>
    <w:rsid w:val="11E3235B"/>
    <w:rsid w:val="11E43834"/>
    <w:rsid w:val="11E64C3C"/>
    <w:rsid w:val="11FF5245"/>
    <w:rsid w:val="120011F9"/>
    <w:rsid w:val="12046C26"/>
    <w:rsid w:val="1207267C"/>
    <w:rsid w:val="12114540"/>
    <w:rsid w:val="1221435C"/>
    <w:rsid w:val="122A4A02"/>
    <w:rsid w:val="123E1AE5"/>
    <w:rsid w:val="12411095"/>
    <w:rsid w:val="12452167"/>
    <w:rsid w:val="12517094"/>
    <w:rsid w:val="126A79BC"/>
    <w:rsid w:val="128E2828"/>
    <w:rsid w:val="12911D8E"/>
    <w:rsid w:val="12952D83"/>
    <w:rsid w:val="12B33182"/>
    <w:rsid w:val="12C522EB"/>
    <w:rsid w:val="12C87AD6"/>
    <w:rsid w:val="12D03842"/>
    <w:rsid w:val="12D8703E"/>
    <w:rsid w:val="12EF71E2"/>
    <w:rsid w:val="12F327E9"/>
    <w:rsid w:val="12F529B7"/>
    <w:rsid w:val="13103642"/>
    <w:rsid w:val="13162269"/>
    <w:rsid w:val="131E588E"/>
    <w:rsid w:val="13210F37"/>
    <w:rsid w:val="13283684"/>
    <w:rsid w:val="13332AC2"/>
    <w:rsid w:val="133D7F08"/>
    <w:rsid w:val="13473600"/>
    <w:rsid w:val="134A6AE1"/>
    <w:rsid w:val="137302F2"/>
    <w:rsid w:val="13A55215"/>
    <w:rsid w:val="13A87A6C"/>
    <w:rsid w:val="13AE40D8"/>
    <w:rsid w:val="13B7185D"/>
    <w:rsid w:val="13C10D58"/>
    <w:rsid w:val="13C119C5"/>
    <w:rsid w:val="13C25ED6"/>
    <w:rsid w:val="13D353EB"/>
    <w:rsid w:val="13D63F93"/>
    <w:rsid w:val="13E03EE7"/>
    <w:rsid w:val="13F87B9A"/>
    <w:rsid w:val="13FC0121"/>
    <w:rsid w:val="140D71D8"/>
    <w:rsid w:val="141225B9"/>
    <w:rsid w:val="14170505"/>
    <w:rsid w:val="141C111B"/>
    <w:rsid w:val="143225B0"/>
    <w:rsid w:val="1436667D"/>
    <w:rsid w:val="14486858"/>
    <w:rsid w:val="14513544"/>
    <w:rsid w:val="14522611"/>
    <w:rsid w:val="14691BE6"/>
    <w:rsid w:val="14744143"/>
    <w:rsid w:val="14792541"/>
    <w:rsid w:val="147A5BD6"/>
    <w:rsid w:val="148418E5"/>
    <w:rsid w:val="14922F4A"/>
    <w:rsid w:val="14A15211"/>
    <w:rsid w:val="14A9207D"/>
    <w:rsid w:val="14A9756C"/>
    <w:rsid w:val="14B92E87"/>
    <w:rsid w:val="14C110B9"/>
    <w:rsid w:val="14C323A0"/>
    <w:rsid w:val="14C60CFC"/>
    <w:rsid w:val="14CF1B75"/>
    <w:rsid w:val="14D15F78"/>
    <w:rsid w:val="14D40B1D"/>
    <w:rsid w:val="14EB7EDB"/>
    <w:rsid w:val="14F14842"/>
    <w:rsid w:val="14FF1EF0"/>
    <w:rsid w:val="15023087"/>
    <w:rsid w:val="150C4559"/>
    <w:rsid w:val="150D7D11"/>
    <w:rsid w:val="15123AA4"/>
    <w:rsid w:val="1536392C"/>
    <w:rsid w:val="154D19C8"/>
    <w:rsid w:val="156D348D"/>
    <w:rsid w:val="15710C5D"/>
    <w:rsid w:val="157A2F1C"/>
    <w:rsid w:val="158262FC"/>
    <w:rsid w:val="15852399"/>
    <w:rsid w:val="15861DFB"/>
    <w:rsid w:val="158D11D5"/>
    <w:rsid w:val="159479A9"/>
    <w:rsid w:val="15955FB9"/>
    <w:rsid w:val="15BA0193"/>
    <w:rsid w:val="15C6690A"/>
    <w:rsid w:val="15C76DA8"/>
    <w:rsid w:val="15D94261"/>
    <w:rsid w:val="15DA2F62"/>
    <w:rsid w:val="15EB1E7E"/>
    <w:rsid w:val="15FD7A7C"/>
    <w:rsid w:val="16080E57"/>
    <w:rsid w:val="160F20CE"/>
    <w:rsid w:val="1616535A"/>
    <w:rsid w:val="161B39A8"/>
    <w:rsid w:val="16244D9C"/>
    <w:rsid w:val="164117B9"/>
    <w:rsid w:val="16427496"/>
    <w:rsid w:val="16490A12"/>
    <w:rsid w:val="165E556B"/>
    <w:rsid w:val="169271CC"/>
    <w:rsid w:val="16930F01"/>
    <w:rsid w:val="16A24EFA"/>
    <w:rsid w:val="16AD555E"/>
    <w:rsid w:val="16AF5C32"/>
    <w:rsid w:val="16BA0C9D"/>
    <w:rsid w:val="16CE3968"/>
    <w:rsid w:val="16D93BC8"/>
    <w:rsid w:val="16EB7C9E"/>
    <w:rsid w:val="16F260E2"/>
    <w:rsid w:val="16FA7B9E"/>
    <w:rsid w:val="171509AF"/>
    <w:rsid w:val="17152BEE"/>
    <w:rsid w:val="171E5928"/>
    <w:rsid w:val="173F3A8F"/>
    <w:rsid w:val="17411BB3"/>
    <w:rsid w:val="1752790B"/>
    <w:rsid w:val="176938FB"/>
    <w:rsid w:val="17813D61"/>
    <w:rsid w:val="17946ECF"/>
    <w:rsid w:val="179D6C75"/>
    <w:rsid w:val="17C13516"/>
    <w:rsid w:val="17C66A84"/>
    <w:rsid w:val="17DF1F60"/>
    <w:rsid w:val="17E00795"/>
    <w:rsid w:val="17E12585"/>
    <w:rsid w:val="17E52A64"/>
    <w:rsid w:val="17F0361E"/>
    <w:rsid w:val="17F14164"/>
    <w:rsid w:val="17F620ED"/>
    <w:rsid w:val="17F82AA6"/>
    <w:rsid w:val="180B744C"/>
    <w:rsid w:val="18222B29"/>
    <w:rsid w:val="182461C0"/>
    <w:rsid w:val="18314D62"/>
    <w:rsid w:val="18334A02"/>
    <w:rsid w:val="184932DE"/>
    <w:rsid w:val="18791B36"/>
    <w:rsid w:val="187B6FE1"/>
    <w:rsid w:val="188B7652"/>
    <w:rsid w:val="188F0459"/>
    <w:rsid w:val="189643AC"/>
    <w:rsid w:val="18A63540"/>
    <w:rsid w:val="18AB281E"/>
    <w:rsid w:val="18CA2AAB"/>
    <w:rsid w:val="18CC34F6"/>
    <w:rsid w:val="18DD7153"/>
    <w:rsid w:val="18E23C75"/>
    <w:rsid w:val="18ED1FC4"/>
    <w:rsid w:val="18EE03D4"/>
    <w:rsid w:val="18F46854"/>
    <w:rsid w:val="18FB3B21"/>
    <w:rsid w:val="19074965"/>
    <w:rsid w:val="193B006F"/>
    <w:rsid w:val="193D5F61"/>
    <w:rsid w:val="19401C92"/>
    <w:rsid w:val="194374E3"/>
    <w:rsid w:val="195C348D"/>
    <w:rsid w:val="197C3B1C"/>
    <w:rsid w:val="198A0A9B"/>
    <w:rsid w:val="199D123D"/>
    <w:rsid w:val="19AF422F"/>
    <w:rsid w:val="19B41917"/>
    <w:rsid w:val="19BC4E33"/>
    <w:rsid w:val="19C0596D"/>
    <w:rsid w:val="19C11D48"/>
    <w:rsid w:val="19D366B0"/>
    <w:rsid w:val="19D92647"/>
    <w:rsid w:val="19E85DA1"/>
    <w:rsid w:val="19F200CE"/>
    <w:rsid w:val="19F66CB4"/>
    <w:rsid w:val="19FC22A1"/>
    <w:rsid w:val="1A0B2B30"/>
    <w:rsid w:val="1A1E29CE"/>
    <w:rsid w:val="1A3E6A9E"/>
    <w:rsid w:val="1A4416DA"/>
    <w:rsid w:val="1A4D52BA"/>
    <w:rsid w:val="1A671816"/>
    <w:rsid w:val="1A6A2C25"/>
    <w:rsid w:val="1A746957"/>
    <w:rsid w:val="1A7839BE"/>
    <w:rsid w:val="1A854DE8"/>
    <w:rsid w:val="1A8F08B3"/>
    <w:rsid w:val="1A967122"/>
    <w:rsid w:val="1AA4540D"/>
    <w:rsid w:val="1AA97713"/>
    <w:rsid w:val="1AAB66F7"/>
    <w:rsid w:val="1AD03C79"/>
    <w:rsid w:val="1AD233FA"/>
    <w:rsid w:val="1ADA117A"/>
    <w:rsid w:val="1AE63BA0"/>
    <w:rsid w:val="1AEE1FC3"/>
    <w:rsid w:val="1AEE4790"/>
    <w:rsid w:val="1B171BC0"/>
    <w:rsid w:val="1B1B07E7"/>
    <w:rsid w:val="1B1C0F83"/>
    <w:rsid w:val="1B313F7A"/>
    <w:rsid w:val="1B384AE0"/>
    <w:rsid w:val="1B43635E"/>
    <w:rsid w:val="1B502501"/>
    <w:rsid w:val="1B6071EE"/>
    <w:rsid w:val="1B654CCC"/>
    <w:rsid w:val="1B777917"/>
    <w:rsid w:val="1B8644D0"/>
    <w:rsid w:val="1B865B22"/>
    <w:rsid w:val="1B8B0C8A"/>
    <w:rsid w:val="1BA37E6C"/>
    <w:rsid w:val="1BB008E2"/>
    <w:rsid w:val="1BB5636F"/>
    <w:rsid w:val="1BBC5025"/>
    <w:rsid w:val="1BD6604E"/>
    <w:rsid w:val="1BDA18E3"/>
    <w:rsid w:val="1BE16CC4"/>
    <w:rsid w:val="1BF77F6C"/>
    <w:rsid w:val="1BFF2810"/>
    <w:rsid w:val="1C5751BC"/>
    <w:rsid w:val="1C620A3B"/>
    <w:rsid w:val="1C622E1C"/>
    <w:rsid w:val="1C631AB6"/>
    <w:rsid w:val="1C6B4EFB"/>
    <w:rsid w:val="1C6D6830"/>
    <w:rsid w:val="1C7A2E8B"/>
    <w:rsid w:val="1C7D0BC1"/>
    <w:rsid w:val="1C83321C"/>
    <w:rsid w:val="1CC25732"/>
    <w:rsid w:val="1CEF4B26"/>
    <w:rsid w:val="1D003420"/>
    <w:rsid w:val="1D1161D9"/>
    <w:rsid w:val="1D2159D2"/>
    <w:rsid w:val="1D241E66"/>
    <w:rsid w:val="1D2C645A"/>
    <w:rsid w:val="1D556FC6"/>
    <w:rsid w:val="1D5F68D9"/>
    <w:rsid w:val="1D62677D"/>
    <w:rsid w:val="1D786DBB"/>
    <w:rsid w:val="1D80602E"/>
    <w:rsid w:val="1D8D2F5C"/>
    <w:rsid w:val="1D9A227B"/>
    <w:rsid w:val="1DA17EBD"/>
    <w:rsid w:val="1DAF2765"/>
    <w:rsid w:val="1DB463A1"/>
    <w:rsid w:val="1DC713EA"/>
    <w:rsid w:val="1DC7521D"/>
    <w:rsid w:val="1DCE2813"/>
    <w:rsid w:val="1E3B75D8"/>
    <w:rsid w:val="1E410479"/>
    <w:rsid w:val="1E540A5B"/>
    <w:rsid w:val="1E561B67"/>
    <w:rsid w:val="1E6006D2"/>
    <w:rsid w:val="1E6F1F58"/>
    <w:rsid w:val="1E76331E"/>
    <w:rsid w:val="1E8F4CCD"/>
    <w:rsid w:val="1E9F2210"/>
    <w:rsid w:val="1EA544C9"/>
    <w:rsid w:val="1EB1688C"/>
    <w:rsid w:val="1EB90B22"/>
    <w:rsid w:val="1EED26EE"/>
    <w:rsid w:val="1EFA76B8"/>
    <w:rsid w:val="1F0E2236"/>
    <w:rsid w:val="1F1634CB"/>
    <w:rsid w:val="1F2C5644"/>
    <w:rsid w:val="1F635135"/>
    <w:rsid w:val="1F836A37"/>
    <w:rsid w:val="1F8576E6"/>
    <w:rsid w:val="1F8F59EE"/>
    <w:rsid w:val="1F95301E"/>
    <w:rsid w:val="1FA93E3C"/>
    <w:rsid w:val="1FB52156"/>
    <w:rsid w:val="1FB53694"/>
    <w:rsid w:val="1FC36AB2"/>
    <w:rsid w:val="1FCB3AC4"/>
    <w:rsid w:val="1FCC4A6A"/>
    <w:rsid w:val="1FCE66DD"/>
    <w:rsid w:val="1FD90DE8"/>
    <w:rsid w:val="1FEA6F38"/>
    <w:rsid w:val="1FF37416"/>
    <w:rsid w:val="1FFF7CB5"/>
    <w:rsid w:val="20497DAD"/>
    <w:rsid w:val="20504699"/>
    <w:rsid w:val="205F32E9"/>
    <w:rsid w:val="206B131E"/>
    <w:rsid w:val="20700392"/>
    <w:rsid w:val="20786C7E"/>
    <w:rsid w:val="209A2047"/>
    <w:rsid w:val="209E6C98"/>
    <w:rsid w:val="20A124EA"/>
    <w:rsid w:val="20A45D88"/>
    <w:rsid w:val="20BF4904"/>
    <w:rsid w:val="20C00C55"/>
    <w:rsid w:val="20CC59E2"/>
    <w:rsid w:val="20CF45FA"/>
    <w:rsid w:val="20DD3478"/>
    <w:rsid w:val="20E607DE"/>
    <w:rsid w:val="20ED7BC2"/>
    <w:rsid w:val="20EE2440"/>
    <w:rsid w:val="20F62B4A"/>
    <w:rsid w:val="20F76B03"/>
    <w:rsid w:val="20FA2FA2"/>
    <w:rsid w:val="210C3563"/>
    <w:rsid w:val="211D399A"/>
    <w:rsid w:val="21207ECA"/>
    <w:rsid w:val="212A5582"/>
    <w:rsid w:val="212B698E"/>
    <w:rsid w:val="21357A58"/>
    <w:rsid w:val="214A5F10"/>
    <w:rsid w:val="215013A2"/>
    <w:rsid w:val="21766345"/>
    <w:rsid w:val="21844BE8"/>
    <w:rsid w:val="21864DC2"/>
    <w:rsid w:val="21933B61"/>
    <w:rsid w:val="219A444E"/>
    <w:rsid w:val="219C6637"/>
    <w:rsid w:val="21DE6DA8"/>
    <w:rsid w:val="21E51D1C"/>
    <w:rsid w:val="21F0013A"/>
    <w:rsid w:val="21F80BCD"/>
    <w:rsid w:val="2200001D"/>
    <w:rsid w:val="22075020"/>
    <w:rsid w:val="223A7534"/>
    <w:rsid w:val="22483ECF"/>
    <w:rsid w:val="224F2801"/>
    <w:rsid w:val="22567AAB"/>
    <w:rsid w:val="227076E7"/>
    <w:rsid w:val="22746389"/>
    <w:rsid w:val="229B5C20"/>
    <w:rsid w:val="22A0153A"/>
    <w:rsid w:val="22B64620"/>
    <w:rsid w:val="22BE073E"/>
    <w:rsid w:val="22C3196C"/>
    <w:rsid w:val="22D23C4B"/>
    <w:rsid w:val="22E43202"/>
    <w:rsid w:val="22FF533D"/>
    <w:rsid w:val="230F7925"/>
    <w:rsid w:val="23123872"/>
    <w:rsid w:val="2317440B"/>
    <w:rsid w:val="232B66EC"/>
    <w:rsid w:val="23402374"/>
    <w:rsid w:val="234C232B"/>
    <w:rsid w:val="236430F5"/>
    <w:rsid w:val="237C2921"/>
    <w:rsid w:val="238A1D52"/>
    <w:rsid w:val="23A9662C"/>
    <w:rsid w:val="23B618C1"/>
    <w:rsid w:val="23C77240"/>
    <w:rsid w:val="23CE6623"/>
    <w:rsid w:val="23D402C6"/>
    <w:rsid w:val="23DF40EF"/>
    <w:rsid w:val="23F06B84"/>
    <w:rsid w:val="23FA0B8F"/>
    <w:rsid w:val="24147FED"/>
    <w:rsid w:val="24183944"/>
    <w:rsid w:val="241D74A8"/>
    <w:rsid w:val="24431E50"/>
    <w:rsid w:val="2451792F"/>
    <w:rsid w:val="24661142"/>
    <w:rsid w:val="247B2A07"/>
    <w:rsid w:val="24987C96"/>
    <w:rsid w:val="24AC4BB9"/>
    <w:rsid w:val="24B56EC6"/>
    <w:rsid w:val="24D77B72"/>
    <w:rsid w:val="24D82E6D"/>
    <w:rsid w:val="24E13EC5"/>
    <w:rsid w:val="24E154FC"/>
    <w:rsid w:val="24E905AD"/>
    <w:rsid w:val="24FF00D8"/>
    <w:rsid w:val="25007843"/>
    <w:rsid w:val="250A4EAB"/>
    <w:rsid w:val="25236900"/>
    <w:rsid w:val="25385D8F"/>
    <w:rsid w:val="253C7BF9"/>
    <w:rsid w:val="254D60D5"/>
    <w:rsid w:val="255A538A"/>
    <w:rsid w:val="256349AA"/>
    <w:rsid w:val="25642BDA"/>
    <w:rsid w:val="25677C48"/>
    <w:rsid w:val="25724758"/>
    <w:rsid w:val="257260B8"/>
    <w:rsid w:val="2586391F"/>
    <w:rsid w:val="258F17AB"/>
    <w:rsid w:val="259222E7"/>
    <w:rsid w:val="25931EFB"/>
    <w:rsid w:val="25C76016"/>
    <w:rsid w:val="25D93FDC"/>
    <w:rsid w:val="2600795A"/>
    <w:rsid w:val="260216CA"/>
    <w:rsid w:val="261A1B5C"/>
    <w:rsid w:val="261F2968"/>
    <w:rsid w:val="262B6A90"/>
    <w:rsid w:val="26396B80"/>
    <w:rsid w:val="2643110F"/>
    <w:rsid w:val="26431C56"/>
    <w:rsid w:val="2650309C"/>
    <w:rsid w:val="26583FC8"/>
    <w:rsid w:val="26660844"/>
    <w:rsid w:val="26662796"/>
    <w:rsid w:val="26936F37"/>
    <w:rsid w:val="26B07811"/>
    <w:rsid w:val="26BB09DB"/>
    <w:rsid w:val="26D87AAA"/>
    <w:rsid w:val="26E314C0"/>
    <w:rsid w:val="26F93BAB"/>
    <w:rsid w:val="26FA60CD"/>
    <w:rsid w:val="26FB7396"/>
    <w:rsid w:val="270304E2"/>
    <w:rsid w:val="27092D9E"/>
    <w:rsid w:val="27132656"/>
    <w:rsid w:val="27486CB7"/>
    <w:rsid w:val="274E60CC"/>
    <w:rsid w:val="275B44B6"/>
    <w:rsid w:val="27694D29"/>
    <w:rsid w:val="276B67D5"/>
    <w:rsid w:val="27720451"/>
    <w:rsid w:val="27753EDE"/>
    <w:rsid w:val="27855C09"/>
    <w:rsid w:val="27AF3D8E"/>
    <w:rsid w:val="27BC75DF"/>
    <w:rsid w:val="27DF5031"/>
    <w:rsid w:val="27E96163"/>
    <w:rsid w:val="27F44A39"/>
    <w:rsid w:val="27F67518"/>
    <w:rsid w:val="28080391"/>
    <w:rsid w:val="280929E4"/>
    <w:rsid w:val="2817785D"/>
    <w:rsid w:val="28235B24"/>
    <w:rsid w:val="28257ADE"/>
    <w:rsid w:val="28706F4C"/>
    <w:rsid w:val="28AA19D4"/>
    <w:rsid w:val="28BB19D7"/>
    <w:rsid w:val="28BD6E09"/>
    <w:rsid w:val="28D24F1E"/>
    <w:rsid w:val="28D313FC"/>
    <w:rsid w:val="28EC3121"/>
    <w:rsid w:val="28EC3E9D"/>
    <w:rsid w:val="28F96D17"/>
    <w:rsid w:val="290115D5"/>
    <w:rsid w:val="2906472C"/>
    <w:rsid w:val="290B1653"/>
    <w:rsid w:val="291E65FA"/>
    <w:rsid w:val="29370ABD"/>
    <w:rsid w:val="29374903"/>
    <w:rsid w:val="294334EC"/>
    <w:rsid w:val="294349CF"/>
    <w:rsid w:val="29716C1A"/>
    <w:rsid w:val="29A61CF3"/>
    <w:rsid w:val="29D224B9"/>
    <w:rsid w:val="29E039B8"/>
    <w:rsid w:val="29E45A9B"/>
    <w:rsid w:val="29E94B65"/>
    <w:rsid w:val="29E970D4"/>
    <w:rsid w:val="29ED1D12"/>
    <w:rsid w:val="29F3695E"/>
    <w:rsid w:val="29F45C46"/>
    <w:rsid w:val="2A024445"/>
    <w:rsid w:val="2A0D18CE"/>
    <w:rsid w:val="2A1C66FD"/>
    <w:rsid w:val="2A2660ED"/>
    <w:rsid w:val="2A4D325C"/>
    <w:rsid w:val="2A5D1B1C"/>
    <w:rsid w:val="2A8375FC"/>
    <w:rsid w:val="2A920733"/>
    <w:rsid w:val="2A976270"/>
    <w:rsid w:val="2AA92A67"/>
    <w:rsid w:val="2AB1666C"/>
    <w:rsid w:val="2AB7735F"/>
    <w:rsid w:val="2AC33499"/>
    <w:rsid w:val="2ACB3EEB"/>
    <w:rsid w:val="2AD15556"/>
    <w:rsid w:val="2AD36B34"/>
    <w:rsid w:val="2AD71635"/>
    <w:rsid w:val="2ADF784A"/>
    <w:rsid w:val="2AEB3426"/>
    <w:rsid w:val="2AFC2011"/>
    <w:rsid w:val="2B067EF2"/>
    <w:rsid w:val="2B09075E"/>
    <w:rsid w:val="2B300703"/>
    <w:rsid w:val="2B5671E7"/>
    <w:rsid w:val="2B6373B7"/>
    <w:rsid w:val="2B6B39F1"/>
    <w:rsid w:val="2B6B567F"/>
    <w:rsid w:val="2B717093"/>
    <w:rsid w:val="2B77399A"/>
    <w:rsid w:val="2B7839B9"/>
    <w:rsid w:val="2B7B7BA5"/>
    <w:rsid w:val="2B7F782D"/>
    <w:rsid w:val="2B8F1698"/>
    <w:rsid w:val="2B9866AC"/>
    <w:rsid w:val="2B9B369D"/>
    <w:rsid w:val="2BAA0992"/>
    <w:rsid w:val="2BAD400D"/>
    <w:rsid w:val="2BC13B1E"/>
    <w:rsid w:val="2BC176F4"/>
    <w:rsid w:val="2BCC38A3"/>
    <w:rsid w:val="2BE77E80"/>
    <w:rsid w:val="2BF56A24"/>
    <w:rsid w:val="2C0567CD"/>
    <w:rsid w:val="2C0C6839"/>
    <w:rsid w:val="2C0D2E0B"/>
    <w:rsid w:val="2C257462"/>
    <w:rsid w:val="2C4E794B"/>
    <w:rsid w:val="2C511CE2"/>
    <w:rsid w:val="2C5A4B4C"/>
    <w:rsid w:val="2C5E14AE"/>
    <w:rsid w:val="2C620CDB"/>
    <w:rsid w:val="2C65745E"/>
    <w:rsid w:val="2C8769A5"/>
    <w:rsid w:val="2C896982"/>
    <w:rsid w:val="2C917470"/>
    <w:rsid w:val="2C9D22B8"/>
    <w:rsid w:val="2CAF0C34"/>
    <w:rsid w:val="2CB1391C"/>
    <w:rsid w:val="2CBF3D96"/>
    <w:rsid w:val="2CD4212D"/>
    <w:rsid w:val="2CDA689F"/>
    <w:rsid w:val="2CDC2C5D"/>
    <w:rsid w:val="2CE766D7"/>
    <w:rsid w:val="2CF45AB4"/>
    <w:rsid w:val="2D047E3E"/>
    <w:rsid w:val="2D0A1971"/>
    <w:rsid w:val="2D126CC3"/>
    <w:rsid w:val="2D191550"/>
    <w:rsid w:val="2D1967F4"/>
    <w:rsid w:val="2D276664"/>
    <w:rsid w:val="2D50050C"/>
    <w:rsid w:val="2D5464B2"/>
    <w:rsid w:val="2D7E5D0C"/>
    <w:rsid w:val="2D963283"/>
    <w:rsid w:val="2DA64F04"/>
    <w:rsid w:val="2DAE7E2F"/>
    <w:rsid w:val="2DB350BE"/>
    <w:rsid w:val="2DBB7890"/>
    <w:rsid w:val="2DBB7F9C"/>
    <w:rsid w:val="2DCA62D5"/>
    <w:rsid w:val="2DD100F6"/>
    <w:rsid w:val="2DDE2E00"/>
    <w:rsid w:val="2DDF7B1F"/>
    <w:rsid w:val="2DE9271F"/>
    <w:rsid w:val="2DF566AA"/>
    <w:rsid w:val="2DF93F75"/>
    <w:rsid w:val="2E0C03CC"/>
    <w:rsid w:val="2E19328A"/>
    <w:rsid w:val="2E274D7E"/>
    <w:rsid w:val="2E2C4AE4"/>
    <w:rsid w:val="2E4510F0"/>
    <w:rsid w:val="2E482C09"/>
    <w:rsid w:val="2E58680A"/>
    <w:rsid w:val="2E693C9F"/>
    <w:rsid w:val="2E6A619E"/>
    <w:rsid w:val="2E737A8F"/>
    <w:rsid w:val="2E795FFC"/>
    <w:rsid w:val="2E8E730F"/>
    <w:rsid w:val="2E9618CE"/>
    <w:rsid w:val="2E986CEA"/>
    <w:rsid w:val="2E9A785C"/>
    <w:rsid w:val="2EA47105"/>
    <w:rsid w:val="2EAC649F"/>
    <w:rsid w:val="2EB15F2A"/>
    <w:rsid w:val="2EB95D43"/>
    <w:rsid w:val="2EC4738B"/>
    <w:rsid w:val="2ECC67D9"/>
    <w:rsid w:val="2ECD2196"/>
    <w:rsid w:val="2ECE7118"/>
    <w:rsid w:val="2EDF5202"/>
    <w:rsid w:val="2EE0527B"/>
    <w:rsid w:val="2EED20E8"/>
    <w:rsid w:val="2EF76785"/>
    <w:rsid w:val="2F225074"/>
    <w:rsid w:val="2F2342D1"/>
    <w:rsid w:val="2F244932"/>
    <w:rsid w:val="2F261A5F"/>
    <w:rsid w:val="2F27614B"/>
    <w:rsid w:val="2F2D01D3"/>
    <w:rsid w:val="2F4920FB"/>
    <w:rsid w:val="2F6E1188"/>
    <w:rsid w:val="2F7A3894"/>
    <w:rsid w:val="2F8D0DC9"/>
    <w:rsid w:val="2F924B8C"/>
    <w:rsid w:val="2F9643CD"/>
    <w:rsid w:val="2F9824BC"/>
    <w:rsid w:val="2F9E18F3"/>
    <w:rsid w:val="2FAE10C9"/>
    <w:rsid w:val="2FB02139"/>
    <w:rsid w:val="2FB10750"/>
    <w:rsid w:val="2FB1630E"/>
    <w:rsid w:val="2FBD6979"/>
    <w:rsid w:val="2FBF7F0C"/>
    <w:rsid w:val="2FC30112"/>
    <w:rsid w:val="2FCB59BE"/>
    <w:rsid w:val="2FCD61E0"/>
    <w:rsid w:val="2FDF339D"/>
    <w:rsid w:val="2FF00B9F"/>
    <w:rsid w:val="300F7822"/>
    <w:rsid w:val="3031655A"/>
    <w:rsid w:val="30384AB8"/>
    <w:rsid w:val="30516088"/>
    <w:rsid w:val="305A6356"/>
    <w:rsid w:val="30606199"/>
    <w:rsid w:val="308317AA"/>
    <w:rsid w:val="308F7AFF"/>
    <w:rsid w:val="30964E9C"/>
    <w:rsid w:val="30B35423"/>
    <w:rsid w:val="30BB393A"/>
    <w:rsid w:val="30BC577C"/>
    <w:rsid w:val="30C445BC"/>
    <w:rsid w:val="30DB738E"/>
    <w:rsid w:val="30DD63D3"/>
    <w:rsid w:val="30EF25E1"/>
    <w:rsid w:val="310579A9"/>
    <w:rsid w:val="31176DF0"/>
    <w:rsid w:val="311E167D"/>
    <w:rsid w:val="31303BFD"/>
    <w:rsid w:val="31447819"/>
    <w:rsid w:val="31554491"/>
    <w:rsid w:val="3167127A"/>
    <w:rsid w:val="31783EC3"/>
    <w:rsid w:val="318D300E"/>
    <w:rsid w:val="3194483B"/>
    <w:rsid w:val="31950127"/>
    <w:rsid w:val="319A623C"/>
    <w:rsid w:val="31D46205"/>
    <w:rsid w:val="31E606B1"/>
    <w:rsid w:val="31F64727"/>
    <w:rsid w:val="31F909F3"/>
    <w:rsid w:val="3204549A"/>
    <w:rsid w:val="320D34CB"/>
    <w:rsid w:val="32272D58"/>
    <w:rsid w:val="322A1690"/>
    <w:rsid w:val="323205E8"/>
    <w:rsid w:val="323513C7"/>
    <w:rsid w:val="32497A7D"/>
    <w:rsid w:val="324C5A4B"/>
    <w:rsid w:val="32545538"/>
    <w:rsid w:val="328833E8"/>
    <w:rsid w:val="32994B32"/>
    <w:rsid w:val="329A2104"/>
    <w:rsid w:val="329C0D98"/>
    <w:rsid w:val="32A74EEE"/>
    <w:rsid w:val="32AB3AF8"/>
    <w:rsid w:val="32B22A26"/>
    <w:rsid w:val="32B71ADF"/>
    <w:rsid w:val="32DB7ACC"/>
    <w:rsid w:val="32E44ED3"/>
    <w:rsid w:val="32ED6B53"/>
    <w:rsid w:val="32F962DB"/>
    <w:rsid w:val="33037C89"/>
    <w:rsid w:val="33313418"/>
    <w:rsid w:val="33316A58"/>
    <w:rsid w:val="335D5242"/>
    <w:rsid w:val="33694538"/>
    <w:rsid w:val="3379130B"/>
    <w:rsid w:val="3380234D"/>
    <w:rsid w:val="33806D7E"/>
    <w:rsid w:val="33836A01"/>
    <w:rsid w:val="33A33A59"/>
    <w:rsid w:val="33B13102"/>
    <w:rsid w:val="33D4656B"/>
    <w:rsid w:val="33E32A0D"/>
    <w:rsid w:val="33F120EA"/>
    <w:rsid w:val="33FF5B3B"/>
    <w:rsid w:val="341328EF"/>
    <w:rsid w:val="34191521"/>
    <w:rsid w:val="342C1826"/>
    <w:rsid w:val="34334A3F"/>
    <w:rsid w:val="34365F8E"/>
    <w:rsid w:val="344D73FE"/>
    <w:rsid w:val="34614D29"/>
    <w:rsid w:val="34796A39"/>
    <w:rsid w:val="347A4BE9"/>
    <w:rsid w:val="347F2EAC"/>
    <w:rsid w:val="34827045"/>
    <w:rsid w:val="34951302"/>
    <w:rsid w:val="34972C47"/>
    <w:rsid w:val="34AD3B2A"/>
    <w:rsid w:val="34AE7463"/>
    <w:rsid w:val="34B40FEA"/>
    <w:rsid w:val="34D00523"/>
    <w:rsid w:val="34EE628C"/>
    <w:rsid w:val="34F90E05"/>
    <w:rsid w:val="34FC10EC"/>
    <w:rsid w:val="350B3240"/>
    <w:rsid w:val="3514787C"/>
    <w:rsid w:val="35212B39"/>
    <w:rsid w:val="354100AF"/>
    <w:rsid w:val="35436ABE"/>
    <w:rsid w:val="35556B0A"/>
    <w:rsid w:val="356E3892"/>
    <w:rsid w:val="35722FC6"/>
    <w:rsid w:val="35AB49A0"/>
    <w:rsid w:val="35B05657"/>
    <w:rsid w:val="35B4592C"/>
    <w:rsid w:val="35B7332B"/>
    <w:rsid w:val="35BD68CB"/>
    <w:rsid w:val="35D03736"/>
    <w:rsid w:val="35F83E49"/>
    <w:rsid w:val="35FB72B9"/>
    <w:rsid w:val="360F7775"/>
    <w:rsid w:val="36277095"/>
    <w:rsid w:val="36336FE3"/>
    <w:rsid w:val="363D37A6"/>
    <w:rsid w:val="364E135C"/>
    <w:rsid w:val="36535BF7"/>
    <w:rsid w:val="36646F64"/>
    <w:rsid w:val="36655D91"/>
    <w:rsid w:val="36827060"/>
    <w:rsid w:val="368A02F9"/>
    <w:rsid w:val="368B19C9"/>
    <w:rsid w:val="369C14CA"/>
    <w:rsid w:val="36AB12CD"/>
    <w:rsid w:val="36AF1A8A"/>
    <w:rsid w:val="36C530CE"/>
    <w:rsid w:val="36C94E2A"/>
    <w:rsid w:val="36E15260"/>
    <w:rsid w:val="36E72B10"/>
    <w:rsid w:val="36EC7135"/>
    <w:rsid w:val="36F72D40"/>
    <w:rsid w:val="36FA0F92"/>
    <w:rsid w:val="36FD6A89"/>
    <w:rsid w:val="3716035A"/>
    <w:rsid w:val="372859B0"/>
    <w:rsid w:val="372913F5"/>
    <w:rsid w:val="374111BF"/>
    <w:rsid w:val="3752099D"/>
    <w:rsid w:val="37680569"/>
    <w:rsid w:val="37805047"/>
    <w:rsid w:val="37831676"/>
    <w:rsid w:val="37867DBF"/>
    <w:rsid w:val="378D0E21"/>
    <w:rsid w:val="37935213"/>
    <w:rsid w:val="37A43D5F"/>
    <w:rsid w:val="37B13FC3"/>
    <w:rsid w:val="37B76DAC"/>
    <w:rsid w:val="37CD041E"/>
    <w:rsid w:val="37E42BE8"/>
    <w:rsid w:val="37F31723"/>
    <w:rsid w:val="37F729C0"/>
    <w:rsid w:val="380158B4"/>
    <w:rsid w:val="380231F5"/>
    <w:rsid w:val="38063AA0"/>
    <w:rsid w:val="38077DD1"/>
    <w:rsid w:val="380F323D"/>
    <w:rsid w:val="382A1435"/>
    <w:rsid w:val="383C2F11"/>
    <w:rsid w:val="38480B3D"/>
    <w:rsid w:val="384E21F5"/>
    <w:rsid w:val="386D11FA"/>
    <w:rsid w:val="38742BB9"/>
    <w:rsid w:val="38987E71"/>
    <w:rsid w:val="389D4FC9"/>
    <w:rsid w:val="38B52D1F"/>
    <w:rsid w:val="38B54BD3"/>
    <w:rsid w:val="38BA71DA"/>
    <w:rsid w:val="38BB1DD6"/>
    <w:rsid w:val="38CC4C88"/>
    <w:rsid w:val="38DF544F"/>
    <w:rsid w:val="39012EDF"/>
    <w:rsid w:val="39021AF3"/>
    <w:rsid w:val="390713AF"/>
    <w:rsid w:val="391451BB"/>
    <w:rsid w:val="39176032"/>
    <w:rsid w:val="391F311A"/>
    <w:rsid w:val="392435C2"/>
    <w:rsid w:val="392E08B2"/>
    <w:rsid w:val="3934571C"/>
    <w:rsid w:val="39476C52"/>
    <w:rsid w:val="394F2EDE"/>
    <w:rsid w:val="39511B24"/>
    <w:rsid w:val="3952587A"/>
    <w:rsid w:val="39552416"/>
    <w:rsid w:val="395F7748"/>
    <w:rsid w:val="39701ACE"/>
    <w:rsid w:val="397C31F3"/>
    <w:rsid w:val="39825A2E"/>
    <w:rsid w:val="39834393"/>
    <w:rsid w:val="39834A14"/>
    <w:rsid w:val="399A17D0"/>
    <w:rsid w:val="399B0312"/>
    <w:rsid w:val="39A12690"/>
    <w:rsid w:val="39A85D83"/>
    <w:rsid w:val="39B86235"/>
    <w:rsid w:val="39B91CFF"/>
    <w:rsid w:val="39BC1AD7"/>
    <w:rsid w:val="39BE7339"/>
    <w:rsid w:val="3A0773E4"/>
    <w:rsid w:val="3A13425B"/>
    <w:rsid w:val="3A157FE2"/>
    <w:rsid w:val="3A17065F"/>
    <w:rsid w:val="3A1A4326"/>
    <w:rsid w:val="3A22464A"/>
    <w:rsid w:val="3A54567D"/>
    <w:rsid w:val="3A5474F9"/>
    <w:rsid w:val="3A575310"/>
    <w:rsid w:val="3A630F3B"/>
    <w:rsid w:val="3A69337A"/>
    <w:rsid w:val="3A705C88"/>
    <w:rsid w:val="3A7A55B6"/>
    <w:rsid w:val="3AAF1B4D"/>
    <w:rsid w:val="3AB86A51"/>
    <w:rsid w:val="3ABA54A2"/>
    <w:rsid w:val="3AFE3DE2"/>
    <w:rsid w:val="3B033242"/>
    <w:rsid w:val="3B0E60B3"/>
    <w:rsid w:val="3B1614CF"/>
    <w:rsid w:val="3B2E63FF"/>
    <w:rsid w:val="3B5A17F0"/>
    <w:rsid w:val="3B8A6937"/>
    <w:rsid w:val="3B8D0FF9"/>
    <w:rsid w:val="3B8D4C0E"/>
    <w:rsid w:val="3B9101EC"/>
    <w:rsid w:val="3B935E83"/>
    <w:rsid w:val="3B9B588C"/>
    <w:rsid w:val="3BA86CC4"/>
    <w:rsid w:val="3BBC08F8"/>
    <w:rsid w:val="3BCF139D"/>
    <w:rsid w:val="3BD14F6A"/>
    <w:rsid w:val="3BD40F80"/>
    <w:rsid w:val="3BDA0E41"/>
    <w:rsid w:val="3C091C7A"/>
    <w:rsid w:val="3C0F2C93"/>
    <w:rsid w:val="3C1A028C"/>
    <w:rsid w:val="3C36703F"/>
    <w:rsid w:val="3C394AA4"/>
    <w:rsid w:val="3C422F89"/>
    <w:rsid w:val="3C5558F9"/>
    <w:rsid w:val="3C5E55CF"/>
    <w:rsid w:val="3C672DC3"/>
    <w:rsid w:val="3C6D7E9D"/>
    <w:rsid w:val="3C74230E"/>
    <w:rsid w:val="3C74552E"/>
    <w:rsid w:val="3C8B7B80"/>
    <w:rsid w:val="3C904E65"/>
    <w:rsid w:val="3C924F78"/>
    <w:rsid w:val="3C9833BA"/>
    <w:rsid w:val="3CA0077D"/>
    <w:rsid w:val="3CAB7C11"/>
    <w:rsid w:val="3CDC720C"/>
    <w:rsid w:val="3CEA7206"/>
    <w:rsid w:val="3CEB20E3"/>
    <w:rsid w:val="3CEC5FD8"/>
    <w:rsid w:val="3D1C0861"/>
    <w:rsid w:val="3D267AFA"/>
    <w:rsid w:val="3D303478"/>
    <w:rsid w:val="3D3F6988"/>
    <w:rsid w:val="3D510975"/>
    <w:rsid w:val="3D580AE9"/>
    <w:rsid w:val="3D767CF8"/>
    <w:rsid w:val="3D7F2BAE"/>
    <w:rsid w:val="3D9B7276"/>
    <w:rsid w:val="3DA905AE"/>
    <w:rsid w:val="3DB02779"/>
    <w:rsid w:val="3DC45615"/>
    <w:rsid w:val="3DCE2474"/>
    <w:rsid w:val="3DDD2970"/>
    <w:rsid w:val="3DDD6D2B"/>
    <w:rsid w:val="3DE6026F"/>
    <w:rsid w:val="3DF5272E"/>
    <w:rsid w:val="3E1703D3"/>
    <w:rsid w:val="3E216D9C"/>
    <w:rsid w:val="3E2873FE"/>
    <w:rsid w:val="3E305096"/>
    <w:rsid w:val="3E334632"/>
    <w:rsid w:val="3E3B238B"/>
    <w:rsid w:val="3E501E48"/>
    <w:rsid w:val="3E5D2BFA"/>
    <w:rsid w:val="3E66309D"/>
    <w:rsid w:val="3E666992"/>
    <w:rsid w:val="3E6E5DF0"/>
    <w:rsid w:val="3E6F4D06"/>
    <w:rsid w:val="3E944235"/>
    <w:rsid w:val="3E962D1A"/>
    <w:rsid w:val="3E9A1729"/>
    <w:rsid w:val="3EA153D1"/>
    <w:rsid w:val="3EBB738F"/>
    <w:rsid w:val="3ED85405"/>
    <w:rsid w:val="3F1025B6"/>
    <w:rsid w:val="3F106282"/>
    <w:rsid w:val="3F196080"/>
    <w:rsid w:val="3F1E4563"/>
    <w:rsid w:val="3F23048C"/>
    <w:rsid w:val="3F241EE3"/>
    <w:rsid w:val="3F264AE3"/>
    <w:rsid w:val="3F29052B"/>
    <w:rsid w:val="3F3D09BF"/>
    <w:rsid w:val="3F555D46"/>
    <w:rsid w:val="3F7229FA"/>
    <w:rsid w:val="3F747B95"/>
    <w:rsid w:val="3F7521E5"/>
    <w:rsid w:val="3F762616"/>
    <w:rsid w:val="3F7629A1"/>
    <w:rsid w:val="3F837689"/>
    <w:rsid w:val="3F962137"/>
    <w:rsid w:val="3F9971EB"/>
    <w:rsid w:val="3FB20EE7"/>
    <w:rsid w:val="3FBA67E0"/>
    <w:rsid w:val="3FCE7773"/>
    <w:rsid w:val="3FD57488"/>
    <w:rsid w:val="3FE10371"/>
    <w:rsid w:val="3FEB094C"/>
    <w:rsid w:val="40247620"/>
    <w:rsid w:val="403441E6"/>
    <w:rsid w:val="403C67EE"/>
    <w:rsid w:val="40487E37"/>
    <w:rsid w:val="404C3728"/>
    <w:rsid w:val="4054444F"/>
    <w:rsid w:val="4061244D"/>
    <w:rsid w:val="40746D88"/>
    <w:rsid w:val="408F4C71"/>
    <w:rsid w:val="40936751"/>
    <w:rsid w:val="40944430"/>
    <w:rsid w:val="40DC57A4"/>
    <w:rsid w:val="40F8270C"/>
    <w:rsid w:val="41081CE5"/>
    <w:rsid w:val="4113543B"/>
    <w:rsid w:val="41141C05"/>
    <w:rsid w:val="411E2275"/>
    <w:rsid w:val="4133106C"/>
    <w:rsid w:val="415D1D48"/>
    <w:rsid w:val="417D747D"/>
    <w:rsid w:val="41882D56"/>
    <w:rsid w:val="41894FC8"/>
    <w:rsid w:val="418A5396"/>
    <w:rsid w:val="418F74C2"/>
    <w:rsid w:val="41C73CBD"/>
    <w:rsid w:val="41C75B33"/>
    <w:rsid w:val="41C93E75"/>
    <w:rsid w:val="41D904A7"/>
    <w:rsid w:val="41DB7CCF"/>
    <w:rsid w:val="41E00C23"/>
    <w:rsid w:val="41EE2436"/>
    <w:rsid w:val="41EF3046"/>
    <w:rsid w:val="41F00EF9"/>
    <w:rsid w:val="41FD4A57"/>
    <w:rsid w:val="420A228F"/>
    <w:rsid w:val="421B7466"/>
    <w:rsid w:val="422D796A"/>
    <w:rsid w:val="42322F02"/>
    <w:rsid w:val="423463FB"/>
    <w:rsid w:val="42525607"/>
    <w:rsid w:val="42624876"/>
    <w:rsid w:val="42626E70"/>
    <w:rsid w:val="426675DB"/>
    <w:rsid w:val="426A532D"/>
    <w:rsid w:val="428724EF"/>
    <w:rsid w:val="4291510E"/>
    <w:rsid w:val="4298011A"/>
    <w:rsid w:val="429C3193"/>
    <w:rsid w:val="42AF23AD"/>
    <w:rsid w:val="42BE20A6"/>
    <w:rsid w:val="42CA56DA"/>
    <w:rsid w:val="42FE7C59"/>
    <w:rsid w:val="43006137"/>
    <w:rsid w:val="43035B5D"/>
    <w:rsid w:val="431F76CA"/>
    <w:rsid w:val="432C386C"/>
    <w:rsid w:val="43370A05"/>
    <w:rsid w:val="433B6D7F"/>
    <w:rsid w:val="435246BF"/>
    <w:rsid w:val="43822E6C"/>
    <w:rsid w:val="43860C0A"/>
    <w:rsid w:val="439B1B9E"/>
    <w:rsid w:val="43AC50D0"/>
    <w:rsid w:val="43B133A5"/>
    <w:rsid w:val="43BF503F"/>
    <w:rsid w:val="43DC7BC7"/>
    <w:rsid w:val="43EB626A"/>
    <w:rsid w:val="43F81EA1"/>
    <w:rsid w:val="43FB7B60"/>
    <w:rsid w:val="442368AD"/>
    <w:rsid w:val="442A12C2"/>
    <w:rsid w:val="4447741B"/>
    <w:rsid w:val="444F35ED"/>
    <w:rsid w:val="44612ECE"/>
    <w:rsid w:val="44613DF4"/>
    <w:rsid w:val="4471604A"/>
    <w:rsid w:val="44743ADD"/>
    <w:rsid w:val="447A1CCE"/>
    <w:rsid w:val="447C47A2"/>
    <w:rsid w:val="44911F88"/>
    <w:rsid w:val="44AC5424"/>
    <w:rsid w:val="44AF251D"/>
    <w:rsid w:val="44BE2BC8"/>
    <w:rsid w:val="44C2503C"/>
    <w:rsid w:val="44C419ED"/>
    <w:rsid w:val="44C51CE0"/>
    <w:rsid w:val="44D11837"/>
    <w:rsid w:val="44E17937"/>
    <w:rsid w:val="44E37429"/>
    <w:rsid w:val="44E43559"/>
    <w:rsid w:val="44E47C6D"/>
    <w:rsid w:val="44E75B5C"/>
    <w:rsid w:val="44ED0B3B"/>
    <w:rsid w:val="45362BBB"/>
    <w:rsid w:val="45397BA7"/>
    <w:rsid w:val="453F6DE5"/>
    <w:rsid w:val="4547287C"/>
    <w:rsid w:val="454F70B5"/>
    <w:rsid w:val="455B4F4B"/>
    <w:rsid w:val="45624D3E"/>
    <w:rsid w:val="456C54B3"/>
    <w:rsid w:val="4576427A"/>
    <w:rsid w:val="458E4B86"/>
    <w:rsid w:val="45993385"/>
    <w:rsid w:val="45A232AB"/>
    <w:rsid w:val="45AD3D3A"/>
    <w:rsid w:val="45F8118D"/>
    <w:rsid w:val="46037584"/>
    <w:rsid w:val="460E13B4"/>
    <w:rsid w:val="460E3918"/>
    <w:rsid w:val="462820F6"/>
    <w:rsid w:val="462C76FB"/>
    <w:rsid w:val="462D5F13"/>
    <w:rsid w:val="463258C4"/>
    <w:rsid w:val="46434321"/>
    <w:rsid w:val="46452D5D"/>
    <w:rsid w:val="464F2576"/>
    <w:rsid w:val="46686421"/>
    <w:rsid w:val="466C3FE6"/>
    <w:rsid w:val="467808B9"/>
    <w:rsid w:val="46793BFD"/>
    <w:rsid w:val="468A4B2E"/>
    <w:rsid w:val="468D5B5C"/>
    <w:rsid w:val="469C1BBB"/>
    <w:rsid w:val="469D4BBA"/>
    <w:rsid w:val="46A67CE7"/>
    <w:rsid w:val="46A7517F"/>
    <w:rsid w:val="46AB1EB0"/>
    <w:rsid w:val="46C72C75"/>
    <w:rsid w:val="46C76D51"/>
    <w:rsid w:val="46CE20AD"/>
    <w:rsid w:val="46DD1FCE"/>
    <w:rsid w:val="46E64D77"/>
    <w:rsid w:val="46EE18D6"/>
    <w:rsid w:val="46F52065"/>
    <w:rsid w:val="470A7411"/>
    <w:rsid w:val="4715196D"/>
    <w:rsid w:val="471D7D77"/>
    <w:rsid w:val="471F1D89"/>
    <w:rsid w:val="4727150C"/>
    <w:rsid w:val="4733700C"/>
    <w:rsid w:val="474B7D47"/>
    <w:rsid w:val="47553A29"/>
    <w:rsid w:val="47883DD3"/>
    <w:rsid w:val="478B073D"/>
    <w:rsid w:val="47A84039"/>
    <w:rsid w:val="47BF38F6"/>
    <w:rsid w:val="47E168DE"/>
    <w:rsid w:val="47E22215"/>
    <w:rsid w:val="47E479BA"/>
    <w:rsid w:val="47EE2DC9"/>
    <w:rsid w:val="480047FA"/>
    <w:rsid w:val="480D1677"/>
    <w:rsid w:val="4811557C"/>
    <w:rsid w:val="48196105"/>
    <w:rsid w:val="481E4A70"/>
    <w:rsid w:val="482A4F98"/>
    <w:rsid w:val="485F0E1F"/>
    <w:rsid w:val="485F3000"/>
    <w:rsid w:val="486632B5"/>
    <w:rsid w:val="486D5B6C"/>
    <w:rsid w:val="486F5B46"/>
    <w:rsid w:val="486F7654"/>
    <w:rsid w:val="487103DB"/>
    <w:rsid w:val="48914464"/>
    <w:rsid w:val="489425A9"/>
    <w:rsid w:val="48983884"/>
    <w:rsid w:val="48A34C5A"/>
    <w:rsid w:val="48AB0FE9"/>
    <w:rsid w:val="48B978B8"/>
    <w:rsid w:val="48D32646"/>
    <w:rsid w:val="48D612FB"/>
    <w:rsid w:val="49064A95"/>
    <w:rsid w:val="491274C0"/>
    <w:rsid w:val="49130A0C"/>
    <w:rsid w:val="491D2978"/>
    <w:rsid w:val="49203794"/>
    <w:rsid w:val="4926135A"/>
    <w:rsid w:val="49286FBC"/>
    <w:rsid w:val="49394E59"/>
    <w:rsid w:val="494B6683"/>
    <w:rsid w:val="49787B50"/>
    <w:rsid w:val="498506CB"/>
    <w:rsid w:val="49901B12"/>
    <w:rsid w:val="49AE6960"/>
    <w:rsid w:val="49CB2D1D"/>
    <w:rsid w:val="49E45724"/>
    <w:rsid w:val="49EA06DC"/>
    <w:rsid w:val="49EF3AEA"/>
    <w:rsid w:val="49F33820"/>
    <w:rsid w:val="49F505EC"/>
    <w:rsid w:val="49FC3982"/>
    <w:rsid w:val="4A05100E"/>
    <w:rsid w:val="4A06281B"/>
    <w:rsid w:val="4A064DDD"/>
    <w:rsid w:val="4A0A5803"/>
    <w:rsid w:val="4A1E7399"/>
    <w:rsid w:val="4A277076"/>
    <w:rsid w:val="4A2F4E63"/>
    <w:rsid w:val="4A3E7350"/>
    <w:rsid w:val="4A61525C"/>
    <w:rsid w:val="4A6D381D"/>
    <w:rsid w:val="4A973254"/>
    <w:rsid w:val="4A987732"/>
    <w:rsid w:val="4ABE4284"/>
    <w:rsid w:val="4AD154B7"/>
    <w:rsid w:val="4AD57590"/>
    <w:rsid w:val="4AF55FE2"/>
    <w:rsid w:val="4B117920"/>
    <w:rsid w:val="4B147010"/>
    <w:rsid w:val="4B1852BE"/>
    <w:rsid w:val="4B222EC4"/>
    <w:rsid w:val="4B2F5FFE"/>
    <w:rsid w:val="4B440D12"/>
    <w:rsid w:val="4B464D0D"/>
    <w:rsid w:val="4B486CCB"/>
    <w:rsid w:val="4B705508"/>
    <w:rsid w:val="4B795DDE"/>
    <w:rsid w:val="4B8E69F0"/>
    <w:rsid w:val="4B9A1C55"/>
    <w:rsid w:val="4BA03BA9"/>
    <w:rsid w:val="4BA418D1"/>
    <w:rsid w:val="4BA7496C"/>
    <w:rsid w:val="4BA91123"/>
    <w:rsid w:val="4BDF6B28"/>
    <w:rsid w:val="4BEB571C"/>
    <w:rsid w:val="4BEC04CF"/>
    <w:rsid w:val="4BF84445"/>
    <w:rsid w:val="4BFB4823"/>
    <w:rsid w:val="4C001E3B"/>
    <w:rsid w:val="4C061D1E"/>
    <w:rsid w:val="4C0F6D4C"/>
    <w:rsid w:val="4C170E14"/>
    <w:rsid w:val="4C1775B3"/>
    <w:rsid w:val="4C1B1D5C"/>
    <w:rsid w:val="4C1C2EF0"/>
    <w:rsid w:val="4C247DF1"/>
    <w:rsid w:val="4C2651F4"/>
    <w:rsid w:val="4C275E94"/>
    <w:rsid w:val="4C296343"/>
    <w:rsid w:val="4C2E627D"/>
    <w:rsid w:val="4C3156D3"/>
    <w:rsid w:val="4C321530"/>
    <w:rsid w:val="4C3949B6"/>
    <w:rsid w:val="4C3F6B15"/>
    <w:rsid w:val="4C414F77"/>
    <w:rsid w:val="4C4A5E1F"/>
    <w:rsid w:val="4C4B1539"/>
    <w:rsid w:val="4C5265D8"/>
    <w:rsid w:val="4C571624"/>
    <w:rsid w:val="4C590A32"/>
    <w:rsid w:val="4C5A256B"/>
    <w:rsid w:val="4C630338"/>
    <w:rsid w:val="4C7459B3"/>
    <w:rsid w:val="4C9B0C6E"/>
    <w:rsid w:val="4C9C01E1"/>
    <w:rsid w:val="4C9E1829"/>
    <w:rsid w:val="4CA85166"/>
    <w:rsid w:val="4CA856B2"/>
    <w:rsid w:val="4CB40C50"/>
    <w:rsid w:val="4CC22C62"/>
    <w:rsid w:val="4CD178C9"/>
    <w:rsid w:val="4CD356B5"/>
    <w:rsid w:val="4CFC6B70"/>
    <w:rsid w:val="4D0B0BCD"/>
    <w:rsid w:val="4D0F5EE8"/>
    <w:rsid w:val="4D1330BA"/>
    <w:rsid w:val="4D1A6075"/>
    <w:rsid w:val="4D1E252F"/>
    <w:rsid w:val="4D384833"/>
    <w:rsid w:val="4D4F61EB"/>
    <w:rsid w:val="4D5F06BE"/>
    <w:rsid w:val="4D747BC1"/>
    <w:rsid w:val="4D945DFD"/>
    <w:rsid w:val="4D9B0EA1"/>
    <w:rsid w:val="4DB969CF"/>
    <w:rsid w:val="4DC03158"/>
    <w:rsid w:val="4DC2360D"/>
    <w:rsid w:val="4DE3753F"/>
    <w:rsid w:val="4DE97CC1"/>
    <w:rsid w:val="4DF5379E"/>
    <w:rsid w:val="4E274EA7"/>
    <w:rsid w:val="4E28715E"/>
    <w:rsid w:val="4E486DF9"/>
    <w:rsid w:val="4E495DA7"/>
    <w:rsid w:val="4E673067"/>
    <w:rsid w:val="4E6B6BB3"/>
    <w:rsid w:val="4E950F02"/>
    <w:rsid w:val="4E99376B"/>
    <w:rsid w:val="4EA54147"/>
    <w:rsid w:val="4EA74595"/>
    <w:rsid w:val="4EAA729A"/>
    <w:rsid w:val="4EB50236"/>
    <w:rsid w:val="4EC93314"/>
    <w:rsid w:val="4ECA169C"/>
    <w:rsid w:val="4ED759B7"/>
    <w:rsid w:val="4EDC182E"/>
    <w:rsid w:val="4EE61E31"/>
    <w:rsid w:val="4EFD232A"/>
    <w:rsid w:val="4EFE7CEC"/>
    <w:rsid w:val="4F0A2902"/>
    <w:rsid w:val="4F0C4F44"/>
    <w:rsid w:val="4F1607EC"/>
    <w:rsid w:val="4F295B04"/>
    <w:rsid w:val="4F2C0845"/>
    <w:rsid w:val="4F451F19"/>
    <w:rsid w:val="4F55541D"/>
    <w:rsid w:val="4F5C483B"/>
    <w:rsid w:val="4F5F07A6"/>
    <w:rsid w:val="4F625FB8"/>
    <w:rsid w:val="4F661F98"/>
    <w:rsid w:val="4F7C7FA6"/>
    <w:rsid w:val="4F9516EA"/>
    <w:rsid w:val="4F960237"/>
    <w:rsid w:val="4F9C6D56"/>
    <w:rsid w:val="4FA35E9A"/>
    <w:rsid w:val="4FAB1685"/>
    <w:rsid w:val="4FAE5639"/>
    <w:rsid w:val="4FD65D55"/>
    <w:rsid w:val="4FE6789E"/>
    <w:rsid w:val="4FE92156"/>
    <w:rsid w:val="4FF25918"/>
    <w:rsid w:val="4FF75FDD"/>
    <w:rsid w:val="5004677C"/>
    <w:rsid w:val="501073B4"/>
    <w:rsid w:val="50172E19"/>
    <w:rsid w:val="502730CF"/>
    <w:rsid w:val="502D5377"/>
    <w:rsid w:val="50401DC9"/>
    <w:rsid w:val="504C1012"/>
    <w:rsid w:val="505302DD"/>
    <w:rsid w:val="50546D70"/>
    <w:rsid w:val="507122E9"/>
    <w:rsid w:val="50862C1A"/>
    <w:rsid w:val="50A75FA5"/>
    <w:rsid w:val="50AC07D7"/>
    <w:rsid w:val="50C81A93"/>
    <w:rsid w:val="50D23C6F"/>
    <w:rsid w:val="50DA31B2"/>
    <w:rsid w:val="50F05599"/>
    <w:rsid w:val="50F203F4"/>
    <w:rsid w:val="51104393"/>
    <w:rsid w:val="51225046"/>
    <w:rsid w:val="51231F6A"/>
    <w:rsid w:val="51265E30"/>
    <w:rsid w:val="512660AE"/>
    <w:rsid w:val="512F2C6E"/>
    <w:rsid w:val="513B1BE4"/>
    <w:rsid w:val="513E52ED"/>
    <w:rsid w:val="514362BB"/>
    <w:rsid w:val="514C0842"/>
    <w:rsid w:val="51585716"/>
    <w:rsid w:val="51883F7C"/>
    <w:rsid w:val="518A78A0"/>
    <w:rsid w:val="51A058CA"/>
    <w:rsid w:val="51A36AFB"/>
    <w:rsid w:val="51B313BC"/>
    <w:rsid w:val="51C76B56"/>
    <w:rsid w:val="51F12022"/>
    <w:rsid w:val="51F60D12"/>
    <w:rsid w:val="520112B5"/>
    <w:rsid w:val="52084B4D"/>
    <w:rsid w:val="521555E3"/>
    <w:rsid w:val="52306E71"/>
    <w:rsid w:val="52425744"/>
    <w:rsid w:val="52473AC7"/>
    <w:rsid w:val="52473B72"/>
    <w:rsid w:val="524B56BD"/>
    <w:rsid w:val="526A4B60"/>
    <w:rsid w:val="526E053C"/>
    <w:rsid w:val="52720CFF"/>
    <w:rsid w:val="527A2D6A"/>
    <w:rsid w:val="52955131"/>
    <w:rsid w:val="52AF4F99"/>
    <w:rsid w:val="52BA6956"/>
    <w:rsid w:val="52C80D6D"/>
    <w:rsid w:val="52D22567"/>
    <w:rsid w:val="52D379F5"/>
    <w:rsid w:val="52D71B76"/>
    <w:rsid w:val="52DB7942"/>
    <w:rsid w:val="52E10CD4"/>
    <w:rsid w:val="52ED58A2"/>
    <w:rsid w:val="5307650A"/>
    <w:rsid w:val="530811A7"/>
    <w:rsid w:val="530A4396"/>
    <w:rsid w:val="530A54D3"/>
    <w:rsid w:val="530E4E05"/>
    <w:rsid w:val="532417D3"/>
    <w:rsid w:val="533D471D"/>
    <w:rsid w:val="5341665D"/>
    <w:rsid w:val="534562DC"/>
    <w:rsid w:val="53535810"/>
    <w:rsid w:val="5375513C"/>
    <w:rsid w:val="53772B66"/>
    <w:rsid w:val="53A65DCB"/>
    <w:rsid w:val="53B40DFF"/>
    <w:rsid w:val="53B61415"/>
    <w:rsid w:val="53D35DD7"/>
    <w:rsid w:val="53DC4239"/>
    <w:rsid w:val="53DF5F44"/>
    <w:rsid w:val="53EA3E68"/>
    <w:rsid w:val="53F24EAF"/>
    <w:rsid w:val="541D45F5"/>
    <w:rsid w:val="54224D35"/>
    <w:rsid w:val="54570579"/>
    <w:rsid w:val="546672F5"/>
    <w:rsid w:val="54682E5E"/>
    <w:rsid w:val="54707856"/>
    <w:rsid w:val="547623F0"/>
    <w:rsid w:val="547843EF"/>
    <w:rsid w:val="548A26CF"/>
    <w:rsid w:val="548C5070"/>
    <w:rsid w:val="549E5385"/>
    <w:rsid w:val="54A840E7"/>
    <w:rsid w:val="54AB653E"/>
    <w:rsid w:val="54C12A37"/>
    <w:rsid w:val="54C37A1F"/>
    <w:rsid w:val="54D679E3"/>
    <w:rsid w:val="54E573B9"/>
    <w:rsid w:val="54EB742F"/>
    <w:rsid w:val="54F14E7E"/>
    <w:rsid w:val="550D0C07"/>
    <w:rsid w:val="550F2460"/>
    <w:rsid w:val="552C01CF"/>
    <w:rsid w:val="5531035C"/>
    <w:rsid w:val="5531473E"/>
    <w:rsid w:val="5540551D"/>
    <w:rsid w:val="55416E5F"/>
    <w:rsid w:val="554360A5"/>
    <w:rsid w:val="55625D73"/>
    <w:rsid w:val="55656C98"/>
    <w:rsid w:val="5569542A"/>
    <w:rsid w:val="556D5B1C"/>
    <w:rsid w:val="55744C94"/>
    <w:rsid w:val="55800A81"/>
    <w:rsid w:val="558A2A19"/>
    <w:rsid w:val="55985343"/>
    <w:rsid w:val="55A479B9"/>
    <w:rsid w:val="55DE1D67"/>
    <w:rsid w:val="55E506D3"/>
    <w:rsid w:val="56021C41"/>
    <w:rsid w:val="56247FBF"/>
    <w:rsid w:val="56371B93"/>
    <w:rsid w:val="564F5F86"/>
    <w:rsid w:val="566C3AA0"/>
    <w:rsid w:val="566F0424"/>
    <w:rsid w:val="567268D2"/>
    <w:rsid w:val="567400FF"/>
    <w:rsid w:val="56820FD3"/>
    <w:rsid w:val="56A46940"/>
    <w:rsid w:val="56C12858"/>
    <w:rsid w:val="56C927B5"/>
    <w:rsid w:val="56DA5268"/>
    <w:rsid w:val="56E55B09"/>
    <w:rsid w:val="56F32F03"/>
    <w:rsid w:val="56FA060F"/>
    <w:rsid w:val="56FD6198"/>
    <w:rsid w:val="570165D0"/>
    <w:rsid w:val="57060570"/>
    <w:rsid w:val="570B36CB"/>
    <w:rsid w:val="571353B5"/>
    <w:rsid w:val="57262134"/>
    <w:rsid w:val="57373579"/>
    <w:rsid w:val="575C368F"/>
    <w:rsid w:val="57600121"/>
    <w:rsid w:val="57665ADB"/>
    <w:rsid w:val="57716924"/>
    <w:rsid w:val="5772494E"/>
    <w:rsid w:val="5777344F"/>
    <w:rsid w:val="57861DA7"/>
    <w:rsid w:val="579E3940"/>
    <w:rsid w:val="57AE7BCB"/>
    <w:rsid w:val="57C630CB"/>
    <w:rsid w:val="57F80404"/>
    <w:rsid w:val="5805173C"/>
    <w:rsid w:val="58125B54"/>
    <w:rsid w:val="582A5F06"/>
    <w:rsid w:val="58484031"/>
    <w:rsid w:val="586353FD"/>
    <w:rsid w:val="587B1DE0"/>
    <w:rsid w:val="58807097"/>
    <w:rsid w:val="58870DB8"/>
    <w:rsid w:val="589C2371"/>
    <w:rsid w:val="58BB2017"/>
    <w:rsid w:val="58C1551D"/>
    <w:rsid w:val="58C77616"/>
    <w:rsid w:val="58D804BD"/>
    <w:rsid w:val="58F50323"/>
    <w:rsid w:val="58FB7F5C"/>
    <w:rsid w:val="59013DA7"/>
    <w:rsid w:val="592217DF"/>
    <w:rsid w:val="592A0FA7"/>
    <w:rsid w:val="59535EE4"/>
    <w:rsid w:val="59553554"/>
    <w:rsid w:val="595C3901"/>
    <w:rsid w:val="59635D26"/>
    <w:rsid w:val="59752DCA"/>
    <w:rsid w:val="59821030"/>
    <w:rsid w:val="599E4329"/>
    <w:rsid w:val="59A15465"/>
    <w:rsid w:val="59A563E8"/>
    <w:rsid w:val="59C70498"/>
    <w:rsid w:val="59C77BBB"/>
    <w:rsid w:val="59C858B1"/>
    <w:rsid w:val="59D8449F"/>
    <w:rsid w:val="59E21ACB"/>
    <w:rsid w:val="59EE5F6D"/>
    <w:rsid w:val="59FC4EFA"/>
    <w:rsid w:val="59FD32E6"/>
    <w:rsid w:val="5A135A6C"/>
    <w:rsid w:val="5A141923"/>
    <w:rsid w:val="5A2B67DE"/>
    <w:rsid w:val="5A3A278D"/>
    <w:rsid w:val="5A3A407E"/>
    <w:rsid w:val="5A57578B"/>
    <w:rsid w:val="5A6731B3"/>
    <w:rsid w:val="5A720585"/>
    <w:rsid w:val="5A7377C3"/>
    <w:rsid w:val="5A783AF5"/>
    <w:rsid w:val="5A7C16A6"/>
    <w:rsid w:val="5A850431"/>
    <w:rsid w:val="5A932560"/>
    <w:rsid w:val="5A9843ED"/>
    <w:rsid w:val="5AA8102D"/>
    <w:rsid w:val="5ABF56C8"/>
    <w:rsid w:val="5ACD0BF4"/>
    <w:rsid w:val="5AE30EB0"/>
    <w:rsid w:val="5B1B6579"/>
    <w:rsid w:val="5B314BE8"/>
    <w:rsid w:val="5B395076"/>
    <w:rsid w:val="5B4D3C7B"/>
    <w:rsid w:val="5B543DF8"/>
    <w:rsid w:val="5B57708E"/>
    <w:rsid w:val="5B635ACF"/>
    <w:rsid w:val="5B8B0D90"/>
    <w:rsid w:val="5BA85268"/>
    <w:rsid w:val="5BB673AC"/>
    <w:rsid w:val="5BBD19F8"/>
    <w:rsid w:val="5BD538A3"/>
    <w:rsid w:val="5BDB6C86"/>
    <w:rsid w:val="5BEA2CB9"/>
    <w:rsid w:val="5BFC46A4"/>
    <w:rsid w:val="5C017BE8"/>
    <w:rsid w:val="5C240812"/>
    <w:rsid w:val="5C2D7FFC"/>
    <w:rsid w:val="5C367F9C"/>
    <w:rsid w:val="5C495D2C"/>
    <w:rsid w:val="5C546FFE"/>
    <w:rsid w:val="5C756D29"/>
    <w:rsid w:val="5C8411C7"/>
    <w:rsid w:val="5C8528A0"/>
    <w:rsid w:val="5C8B46F4"/>
    <w:rsid w:val="5C902EBB"/>
    <w:rsid w:val="5C9C7B1B"/>
    <w:rsid w:val="5CB12509"/>
    <w:rsid w:val="5CB62208"/>
    <w:rsid w:val="5CE35A9A"/>
    <w:rsid w:val="5CE577EB"/>
    <w:rsid w:val="5CEE6CF2"/>
    <w:rsid w:val="5D0625DC"/>
    <w:rsid w:val="5D0B0CD1"/>
    <w:rsid w:val="5D0F1D7E"/>
    <w:rsid w:val="5D1A162D"/>
    <w:rsid w:val="5D2B67EE"/>
    <w:rsid w:val="5D2D7F57"/>
    <w:rsid w:val="5D311F12"/>
    <w:rsid w:val="5D4B7DD5"/>
    <w:rsid w:val="5D574290"/>
    <w:rsid w:val="5D6477AC"/>
    <w:rsid w:val="5D7675BD"/>
    <w:rsid w:val="5D8B64C8"/>
    <w:rsid w:val="5D933A2E"/>
    <w:rsid w:val="5DA01419"/>
    <w:rsid w:val="5DBC2A21"/>
    <w:rsid w:val="5DC96CBA"/>
    <w:rsid w:val="5DCB6369"/>
    <w:rsid w:val="5DDF4E53"/>
    <w:rsid w:val="5E120F3F"/>
    <w:rsid w:val="5E31122E"/>
    <w:rsid w:val="5E5A26D6"/>
    <w:rsid w:val="5E725574"/>
    <w:rsid w:val="5E81524B"/>
    <w:rsid w:val="5E8A0436"/>
    <w:rsid w:val="5E924E0B"/>
    <w:rsid w:val="5E974B8C"/>
    <w:rsid w:val="5EA64B19"/>
    <w:rsid w:val="5EBB350A"/>
    <w:rsid w:val="5EBE293F"/>
    <w:rsid w:val="5EC573A4"/>
    <w:rsid w:val="5ECC17FA"/>
    <w:rsid w:val="5ED31182"/>
    <w:rsid w:val="5EF03F66"/>
    <w:rsid w:val="5F0C152A"/>
    <w:rsid w:val="5F0D3F15"/>
    <w:rsid w:val="5F1033A7"/>
    <w:rsid w:val="5F1D35DB"/>
    <w:rsid w:val="5F302670"/>
    <w:rsid w:val="5F5478A3"/>
    <w:rsid w:val="5F5508C2"/>
    <w:rsid w:val="5F731FA4"/>
    <w:rsid w:val="5F746DCA"/>
    <w:rsid w:val="5F871CD5"/>
    <w:rsid w:val="5F906ED0"/>
    <w:rsid w:val="5FA51911"/>
    <w:rsid w:val="5FA54CB5"/>
    <w:rsid w:val="5FAC119C"/>
    <w:rsid w:val="5FAF7E91"/>
    <w:rsid w:val="5FBA2C0E"/>
    <w:rsid w:val="5FC11F83"/>
    <w:rsid w:val="5FC93461"/>
    <w:rsid w:val="5FC96EF1"/>
    <w:rsid w:val="5FD915AD"/>
    <w:rsid w:val="5FED0822"/>
    <w:rsid w:val="600F0C2B"/>
    <w:rsid w:val="60183C08"/>
    <w:rsid w:val="601B1135"/>
    <w:rsid w:val="6027751F"/>
    <w:rsid w:val="60391BBF"/>
    <w:rsid w:val="60491D49"/>
    <w:rsid w:val="6065114A"/>
    <w:rsid w:val="606D4A60"/>
    <w:rsid w:val="607A01DC"/>
    <w:rsid w:val="608C0FEC"/>
    <w:rsid w:val="60A44FA6"/>
    <w:rsid w:val="60A64067"/>
    <w:rsid w:val="60AB3364"/>
    <w:rsid w:val="60CA0371"/>
    <w:rsid w:val="60D747AB"/>
    <w:rsid w:val="60E935A9"/>
    <w:rsid w:val="611C1B90"/>
    <w:rsid w:val="61621485"/>
    <w:rsid w:val="6162314A"/>
    <w:rsid w:val="616310C1"/>
    <w:rsid w:val="61654A4C"/>
    <w:rsid w:val="616C1A9B"/>
    <w:rsid w:val="61787E2B"/>
    <w:rsid w:val="617922E8"/>
    <w:rsid w:val="617C3E84"/>
    <w:rsid w:val="6198117B"/>
    <w:rsid w:val="619B5088"/>
    <w:rsid w:val="61AB19F1"/>
    <w:rsid w:val="61DA79CD"/>
    <w:rsid w:val="61DB3187"/>
    <w:rsid w:val="62020A5A"/>
    <w:rsid w:val="62056CEB"/>
    <w:rsid w:val="620A0AA5"/>
    <w:rsid w:val="6224566B"/>
    <w:rsid w:val="6233506A"/>
    <w:rsid w:val="623B6EBA"/>
    <w:rsid w:val="626D3DF5"/>
    <w:rsid w:val="628D4473"/>
    <w:rsid w:val="629A172D"/>
    <w:rsid w:val="62A45F9B"/>
    <w:rsid w:val="62A619A3"/>
    <w:rsid w:val="62BE2729"/>
    <w:rsid w:val="62C4032C"/>
    <w:rsid w:val="62CB4BDA"/>
    <w:rsid w:val="62F070CE"/>
    <w:rsid w:val="63035AD2"/>
    <w:rsid w:val="63272A7C"/>
    <w:rsid w:val="634854C3"/>
    <w:rsid w:val="636A632D"/>
    <w:rsid w:val="637C3B69"/>
    <w:rsid w:val="63814404"/>
    <w:rsid w:val="63C33024"/>
    <w:rsid w:val="63CD0DEA"/>
    <w:rsid w:val="63DF0BA9"/>
    <w:rsid w:val="63E2343D"/>
    <w:rsid w:val="63F37638"/>
    <w:rsid w:val="63F57494"/>
    <w:rsid w:val="640C6F42"/>
    <w:rsid w:val="64140039"/>
    <w:rsid w:val="643C0765"/>
    <w:rsid w:val="644A4E25"/>
    <w:rsid w:val="644B4527"/>
    <w:rsid w:val="6459400F"/>
    <w:rsid w:val="64795B5B"/>
    <w:rsid w:val="648B11D8"/>
    <w:rsid w:val="64A14788"/>
    <w:rsid w:val="64A21479"/>
    <w:rsid w:val="64AE7444"/>
    <w:rsid w:val="64D16B53"/>
    <w:rsid w:val="64D67C35"/>
    <w:rsid w:val="64DF5D09"/>
    <w:rsid w:val="64E5576D"/>
    <w:rsid w:val="64F22546"/>
    <w:rsid w:val="64F33B43"/>
    <w:rsid w:val="65073D8A"/>
    <w:rsid w:val="650D38BF"/>
    <w:rsid w:val="65184A2B"/>
    <w:rsid w:val="651F39C5"/>
    <w:rsid w:val="6522308B"/>
    <w:rsid w:val="65480C30"/>
    <w:rsid w:val="65533467"/>
    <w:rsid w:val="655862B4"/>
    <w:rsid w:val="65596485"/>
    <w:rsid w:val="655F3EE5"/>
    <w:rsid w:val="656217AF"/>
    <w:rsid w:val="65766B42"/>
    <w:rsid w:val="65820048"/>
    <w:rsid w:val="659F6CFA"/>
    <w:rsid w:val="65A24DA9"/>
    <w:rsid w:val="65A8029D"/>
    <w:rsid w:val="65F03681"/>
    <w:rsid w:val="65F72689"/>
    <w:rsid w:val="660731FE"/>
    <w:rsid w:val="66273F46"/>
    <w:rsid w:val="66274094"/>
    <w:rsid w:val="663D645F"/>
    <w:rsid w:val="66774D39"/>
    <w:rsid w:val="667E60C9"/>
    <w:rsid w:val="669A1A54"/>
    <w:rsid w:val="66A860FD"/>
    <w:rsid w:val="66B234A6"/>
    <w:rsid w:val="66BB2467"/>
    <w:rsid w:val="66C54DFD"/>
    <w:rsid w:val="66CF001C"/>
    <w:rsid w:val="66D23D4B"/>
    <w:rsid w:val="66D30A4B"/>
    <w:rsid w:val="66E62421"/>
    <w:rsid w:val="66E7610A"/>
    <w:rsid w:val="67153FE5"/>
    <w:rsid w:val="673847E5"/>
    <w:rsid w:val="673C29D1"/>
    <w:rsid w:val="673D7FEF"/>
    <w:rsid w:val="67490287"/>
    <w:rsid w:val="674B286C"/>
    <w:rsid w:val="67542691"/>
    <w:rsid w:val="6760570D"/>
    <w:rsid w:val="67786122"/>
    <w:rsid w:val="67835707"/>
    <w:rsid w:val="67973738"/>
    <w:rsid w:val="679740AD"/>
    <w:rsid w:val="67A5279C"/>
    <w:rsid w:val="67B571EA"/>
    <w:rsid w:val="67F11B42"/>
    <w:rsid w:val="680115E9"/>
    <w:rsid w:val="680E63B3"/>
    <w:rsid w:val="681028EC"/>
    <w:rsid w:val="6813523B"/>
    <w:rsid w:val="681409AF"/>
    <w:rsid w:val="681B3BB3"/>
    <w:rsid w:val="68201586"/>
    <w:rsid w:val="68251D49"/>
    <w:rsid w:val="68317515"/>
    <w:rsid w:val="6843234E"/>
    <w:rsid w:val="68532D6F"/>
    <w:rsid w:val="68597E88"/>
    <w:rsid w:val="686714A8"/>
    <w:rsid w:val="68771A68"/>
    <w:rsid w:val="68804746"/>
    <w:rsid w:val="68942A1B"/>
    <w:rsid w:val="68C70CA0"/>
    <w:rsid w:val="68C905EC"/>
    <w:rsid w:val="68DE258A"/>
    <w:rsid w:val="68EA3712"/>
    <w:rsid w:val="68F76E74"/>
    <w:rsid w:val="68FB0EEB"/>
    <w:rsid w:val="691C6244"/>
    <w:rsid w:val="692C2423"/>
    <w:rsid w:val="692F04BA"/>
    <w:rsid w:val="694404B7"/>
    <w:rsid w:val="694962F0"/>
    <w:rsid w:val="6971373F"/>
    <w:rsid w:val="697C1053"/>
    <w:rsid w:val="698E56B7"/>
    <w:rsid w:val="699F1E40"/>
    <w:rsid w:val="69CE70B8"/>
    <w:rsid w:val="69CF74C4"/>
    <w:rsid w:val="69E2130B"/>
    <w:rsid w:val="69F52007"/>
    <w:rsid w:val="69F92C21"/>
    <w:rsid w:val="6A03124B"/>
    <w:rsid w:val="6A205F71"/>
    <w:rsid w:val="6A363DFB"/>
    <w:rsid w:val="6A3B39BF"/>
    <w:rsid w:val="6A587D61"/>
    <w:rsid w:val="6A6D52DC"/>
    <w:rsid w:val="6A6E1069"/>
    <w:rsid w:val="6A8E2901"/>
    <w:rsid w:val="6A941F9B"/>
    <w:rsid w:val="6A9937A1"/>
    <w:rsid w:val="6A9E4160"/>
    <w:rsid w:val="6AAF5DBA"/>
    <w:rsid w:val="6AB535F5"/>
    <w:rsid w:val="6AB55F42"/>
    <w:rsid w:val="6ABF18D1"/>
    <w:rsid w:val="6ADD1B13"/>
    <w:rsid w:val="6AE73F18"/>
    <w:rsid w:val="6AF95E92"/>
    <w:rsid w:val="6B024026"/>
    <w:rsid w:val="6B0716C5"/>
    <w:rsid w:val="6B095339"/>
    <w:rsid w:val="6B0E3AE5"/>
    <w:rsid w:val="6B121056"/>
    <w:rsid w:val="6B124262"/>
    <w:rsid w:val="6B39696D"/>
    <w:rsid w:val="6B3A72EA"/>
    <w:rsid w:val="6B3C3BCE"/>
    <w:rsid w:val="6B450A87"/>
    <w:rsid w:val="6B5E1853"/>
    <w:rsid w:val="6B6A6FB7"/>
    <w:rsid w:val="6B752E30"/>
    <w:rsid w:val="6B776B37"/>
    <w:rsid w:val="6B7D7297"/>
    <w:rsid w:val="6B8709D0"/>
    <w:rsid w:val="6BA109F7"/>
    <w:rsid w:val="6BAD7887"/>
    <w:rsid w:val="6BD31BA6"/>
    <w:rsid w:val="6BDC5224"/>
    <w:rsid w:val="6BE41E3F"/>
    <w:rsid w:val="6BFF0BEE"/>
    <w:rsid w:val="6C081F6D"/>
    <w:rsid w:val="6C22572A"/>
    <w:rsid w:val="6C447F8C"/>
    <w:rsid w:val="6C535767"/>
    <w:rsid w:val="6C5C52D0"/>
    <w:rsid w:val="6C6A0329"/>
    <w:rsid w:val="6C7F5B0A"/>
    <w:rsid w:val="6C840E8A"/>
    <w:rsid w:val="6C865767"/>
    <w:rsid w:val="6C894FDD"/>
    <w:rsid w:val="6C8A54AA"/>
    <w:rsid w:val="6C8E2832"/>
    <w:rsid w:val="6CA16A47"/>
    <w:rsid w:val="6CBF05B8"/>
    <w:rsid w:val="6CD31A48"/>
    <w:rsid w:val="6D064BD9"/>
    <w:rsid w:val="6D0D4FB0"/>
    <w:rsid w:val="6D187CBB"/>
    <w:rsid w:val="6D1C17B8"/>
    <w:rsid w:val="6D217FD9"/>
    <w:rsid w:val="6D226AD4"/>
    <w:rsid w:val="6D28498A"/>
    <w:rsid w:val="6D3C0D59"/>
    <w:rsid w:val="6D49091F"/>
    <w:rsid w:val="6D704566"/>
    <w:rsid w:val="6D724E29"/>
    <w:rsid w:val="6D7279AC"/>
    <w:rsid w:val="6D8710F1"/>
    <w:rsid w:val="6DA245B8"/>
    <w:rsid w:val="6DCC1506"/>
    <w:rsid w:val="6DD56043"/>
    <w:rsid w:val="6DE95F25"/>
    <w:rsid w:val="6DF61A06"/>
    <w:rsid w:val="6E064458"/>
    <w:rsid w:val="6E0B2F2F"/>
    <w:rsid w:val="6E0D1AE0"/>
    <w:rsid w:val="6E1173AE"/>
    <w:rsid w:val="6E13361D"/>
    <w:rsid w:val="6E15237F"/>
    <w:rsid w:val="6E254348"/>
    <w:rsid w:val="6E421AF3"/>
    <w:rsid w:val="6E6478FC"/>
    <w:rsid w:val="6E6F0E9F"/>
    <w:rsid w:val="6E6F495F"/>
    <w:rsid w:val="6E8247CB"/>
    <w:rsid w:val="6E9445BF"/>
    <w:rsid w:val="6E9B5254"/>
    <w:rsid w:val="6E9C67F6"/>
    <w:rsid w:val="6EA52415"/>
    <w:rsid w:val="6ED61E13"/>
    <w:rsid w:val="6EE07692"/>
    <w:rsid w:val="6EF609E6"/>
    <w:rsid w:val="6F0372A5"/>
    <w:rsid w:val="6F1835C8"/>
    <w:rsid w:val="6F3A31DC"/>
    <w:rsid w:val="6F407003"/>
    <w:rsid w:val="6F52399F"/>
    <w:rsid w:val="6F5559BD"/>
    <w:rsid w:val="6F581550"/>
    <w:rsid w:val="6F5A2B80"/>
    <w:rsid w:val="6F643DE7"/>
    <w:rsid w:val="6F6D5EED"/>
    <w:rsid w:val="6F716307"/>
    <w:rsid w:val="6F752599"/>
    <w:rsid w:val="6F8F1355"/>
    <w:rsid w:val="6F922DB9"/>
    <w:rsid w:val="6F925D53"/>
    <w:rsid w:val="6FAC654D"/>
    <w:rsid w:val="6FC73FB9"/>
    <w:rsid w:val="6FDA10DF"/>
    <w:rsid w:val="6FDE3DEB"/>
    <w:rsid w:val="6FF23C80"/>
    <w:rsid w:val="700473AF"/>
    <w:rsid w:val="700A2689"/>
    <w:rsid w:val="700C2FD6"/>
    <w:rsid w:val="700D2F12"/>
    <w:rsid w:val="700E40A4"/>
    <w:rsid w:val="70182F24"/>
    <w:rsid w:val="7021421D"/>
    <w:rsid w:val="702D2334"/>
    <w:rsid w:val="70322A2B"/>
    <w:rsid w:val="70563D9F"/>
    <w:rsid w:val="706151C8"/>
    <w:rsid w:val="70656606"/>
    <w:rsid w:val="706A10D4"/>
    <w:rsid w:val="70772C70"/>
    <w:rsid w:val="709223E1"/>
    <w:rsid w:val="70926CD5"/>
    <w:rsid w:val="70A82AA5"/>
    <w:rsid w:val="70B12183"/>
    <w:rsid w:val="70B14EEE"/>
    <w:rsid w:val="70C71543"/>
    <w:rsid w:val="70CB449D"/>
    <w:rsid w:val="70D13A7B"/>
    <w:rsid w:val="70D33013"/>
    <w:rsid w:val="70EB7C66"/>
    <w:rsid w:val="70EC3442"/>
    <w:rsid w:val="70F14417"/>
    <w:rsid w:val="71026A6C"/>
    <w:rsid w:val="71035919"/>
    <w:rsid w:val="711570CA"/>
    <w:rsid w:val="71193633"/>
    <w:rsid w:val="711F30BC"/>
    <w:rsid w:val="71225B18"/>
    <w:rsid w:val="712F1C4E"/>
    <w:rsid w:val="71343D55"/>
    <w:rsid w:val="71513F97"/>
    <w:rsid w:val="71590BAF"/>
    <w:rsid w:val="716D27EB"/>
    <w:rsid w:val="71A01427"/>
    <w:rsid w:val="71A16FE0"/>
    <w:rsid w:val="71A25905"/>
    <w:rsid w:val="71A64A25"/>
    <w:rsid w:val="71AE2E22"/>
    <w:rsid w:val="71AF48F3"/>
    <w:rsid w:val="71B003CA"/>
    <w:rsid w:val="71B778F9"/>
    <w:rsid w:val="71C9718E"/>
    <w:rsid w:val="71D85F77"/>
    <w:rsid w:val="71D90562"/>
    <w:rsid w:val="71DE5E1D"/>
    <w:rsid w:val="71E220F5"/>
    <w:rsid w:val="71E57768"/>
    <w:rsid w:val="71E7188D"/>
    <w:rsid w:val="71F14BBA"/>
    <w:rsid w:val="71FF6AEC"/>
    <w:rsid w:val="72136277"/>
    <w:rsid w:val="722824D8"/>
    <w:rsid w:val="723D3C23"/>
    <w:rsid w:val="72407C23"/>
    <w:rsid w:val="724625F4"/>
    <w:rsid w:val="72486363"/>
    <w:rsid w:val="72790930"/>
    <w:rsid w:val="72796ACF"/>
    <w:rsid w:val="72831FFC"/>
    <w:rsid w:val="72897BD6"/>
    <w:rsid w:val="72A14C2E"/>
    <w:rsid w:val="72AE672F"/>
    <w:rsid w:val="72BA186F"/>
    <w:rsid w:val="72C57AFA"/>
    <w:rsid w:val="72C6611B"/>
    <w:rsid w:val="72CA6BC2"/>
    <w:rsid w:val="72E257E7"/>
    <w:rsid w:val="72F0265E"/>
    <w:rsid w:val="73062C4F"/>
    <w:rsid w:val="730D52D1"/>
    <w:rsid w:val="731C4A60"/>
    <w:rsid w:val="73250376"/>
    <w:rsid w:val="73317464"/>
    <w:rsid w:val="7350583F"/>
    <w:rsid w:val="73577745"/>
    <w:rsid w:val="73581EC7"/>
    <w:rsid w:val="73596D77"/>
    <w:rsid w:val="73717D27"/>
    <w:rsid w:val="738A76F7"/>
    <w:rsid w:val="73A31899"/>
    <w:rsid w:val="73A63173"/>
    <w:rsid w:val="73AD1BCB"/>
    <w:rsid w:val="73E82CEB"/>
    <w:rsid w:val="73ED5007"/>
    <w:rsid w:val="73F33FF8"/>
    <w:rsid w:val="74050196"/>
    <w:rsid w:val="74072A88"/>
    <w:rsid w:val="7423436D"/>
    <w:rsid w:val="742A4D54"/>
    <w:rsid w:val="744B50FD"/>
    <w:rsid w:val="7453479E"/>
    <w:rsid w:val="7459795F"/>
    <w:rsid w:val="745C7C18"/>
    <w:rsid w:val="7463277C"/>
    <w:rsid w:val="746C760D"/>
    <w:rsid w:val="7470441D"/>
    <w:rsid w:val="74767027"/>
    <w:rsid w:val="747A4069"/>
    <w:rsid w:val="74A25860"/>
    <w:rsid w:val="74BF7FAB"/>
    <w:rsid w:val="74C707CB"/>
    <w:rsid w:val="74D443F1"/>
    <w:rsid w:val="74E64EEE"/>
    <w:rsid w:val="74E741B5"/>
    <w:rsid w:val="74F20949"/>
    <w:rsid w:val="74F44E6B"/>
    <w:rsid w:val="74F87740"/>
    <w:rsid w:val="74F90AB8"/>
    <w:rsid w:val="75040365"/>
    <w:rsid w:val="75570984"/>
    <w:rsid w:val="755A6DF1"/>
    <w:rsid w:val="75636EAC"/>
    <w:rsid w:val="757B2E3D"/>
    <w:rsid w:val="757C41C6"/>
    <w:rsid w:val="75826850"/>
    <w:rsid w:val="75881756"/>
    <w:rsid w:val="75952136"/>
    <w:rsid w:val="759B755C"/>
    <w:rsid w:val="75A95D7E"/>
    <w:rsid w:val="75B44B54"/>
    <w:rsid w:val="75C557BE"/>
    <w:rsid w:val="75EA4B07"/>
    <w:rsid w:val="75EB0E26"/>
    <w:rsid w:val="75FA6EC8"/>
    <w:rsid w:val="760E1935"/>
    <w:rsid w:val="76102B6B"/>
    <w:rsid w:val="76321BAD"/>
    <w:rsid w:val="76342AAD"/>
    <w:rsid w:val="7636338E"/>
    <w:rsid w:val="763B0F21"/>
    <w:rsid w:val="76461734"/>
    <w:rsid w:val="76516D7B"/>
    <w:rsid w:val="765724D3"/>
    <w:rsid w:val="765D3506"/>
    <w:rsid w:val="76622E01"/>
    <w:rsid w:val="766C1D04"/>
    <w:rsid w:val="76701EE6"/>
    <w:rsid w:val="767E5E0F"/>
    <w:rsid w:val="76947CDC"/>
    <w:rsid w:val="76966C58"/>
    <w:rsid w:val="76A758E7"/>
    <w:rsid w:val="76A84388"/>
    <w:rsid w:val="76D60A26"/>
    <w:rsid w:val="76D70F49"/>
    <w:rsid w:val="76E83423"/>
    <w:rsid w:val="771A58B8"/>
    <w:rsid w:val="774F4B9B"/>
    <w:rsid w:val="77625894"/>
    <w:rsid w:val="77734843"/>
    <w:rsid w:val="77792615"/>
    <w:rsid w:val="777F0313"/>
    <w:rsid w:val="778A4209"/>
    <w:rsid w:val="778A557C"/>
    <w:rsid w:val="77977B69"/>
    <w:rsid w:val="77AD3CB1"/>
    <w:rsid w:val="77B42E37"/>
    <w:rsid w:val="77BC30E4"/>
    <w:rsid w:val="77C54B4B"/>
    <w:rsid w:val="77CF7AC9"/>
    <w:rsid w:val="78026FBF"/>
    <w:rsid w:val="780A21DB"/>
    <w:rsid w:val="78280CBA"/>
    <w:rsid w:val="78391F52"/>
    <w:rsid w:val="78395DAC"/>
    <w:rsid w:val="78646F90"/>
    <w:rsid w:val="786F12BD"/>
    <w:rsid w:val="78733AFA"/>
    <w:rsid w:val="78775688"/>
    <w:rsid w:val="787F2766"/>
    <w:rsid w:val="78A467B0"/>
    <w:rsid w:val="78A473AE"/>
    <w:rsid w:val="78A702B6"/>
    <w:rsid w:val="78AD67B3"/>
    <w:rsid w:val="78B63F2B"/>
    <w:rsid w:val="78D33549"/>
    <w:rsid w:val="78D722B6"/>
    <w:rsid w:val="78DF521A"/>
    <w:rsid w:val="78DF6822"/>
    <w:rsid w:val="78E870E1"/>
    <w:rsid w:val="78ED17CD"/>
    <w:rsid w:val="7933214D"/>
    <w:rsid w:val="79336B8A"/>
    <w:rsid w:val="7946151A"/>
    <w:rsid w:val="7950149D"/>
    <w:rsid w:val="79593D8E"/>
    <w:rsid w:val="795F6336"/>
    <w:rsid w:val="796110EE"/>
    <w:rsid w:val="797D472F"/>
    <w:rsid w:val="79812764"/>
    <w:rsid w:val="799D2987"/>
    <w:rsid w:val="79B56534"/>
    <w:rsid w:val="79B86F80"/>
    <w:rsid w:val="79E02FE9"/>
    <w:rsid w:val="79E3101D"/>
    <w:rsid w:val="79FF0F7B"/>
    <w:rsid w:val="7A020A2C"/>
    <w:rsid w:val="7A071A06"/>
    <w:rsid w:val="7A0B489B"/>
    <w:rsid w:val="7A0E7312"/>
    <w:rsid w:val="7A1E7139"/>
    <w:rsid w:val="7A285D71"/>
    <w:rsid w:val="7A3C7DAC"/>
    <w:rsid w:val="7A5E612E"/>
    <w:rsid w:val="7A6615DD"/>
    <w:rsid w:val="7A8F0A12"/>
    <w:rsid w:val="7AB110EE"/>
    <w:rsid w:val="7AB55C01"/>
    <w:rsid w:val="7AB84AAC"/>
    <w:rsid w:val="7AC40356"/>
    <w:rsid w:val="7AC46395"/>
    <w:rsid w:val="7ADE6A27"/>
    <w:rsid w:val="7AFC7427"/>
    <w:rsid w:val="7AFE22D9"/>
    <w:rsid w:val="7B112F66"/>
    <w:rsid w:val="7B240529"/>
    <w:rsid w:val="7B4F6A42"/>
    <w:rsid w:val="7B583A22"/>
    <w:rsid w:val="7B5A7DB5"/>
    <w:rsid w:val="7B641FA5"/>
    <w:rsid w:val="7B7A4773"/>
    <w:rsid w:val="7B7C7028"/>
    <w:rsid w:val="7B9D5443"/>
    <w:rsid w:val="7B9F176F"/>
    <w:rsid w:val="7BAA6E99"/>
    <w:rsid w:val="7BCB637C"/>
    <w:rsid w:val="7BEC0149"/>
    <w:rsid w:val="7C104FDB"/>
    <w:rsid w:val="7C2B01C5"/>
    <w:rsid w:val="7C300F74"/>
    <w:rsid w:val="7C327F47"/>
    <w:rsid w:val="7C4748CF"/>
    <w:rsid w:val="7C49640A"/>
    <w:rsid w:val="7C5F20E0"/>
    <w:rsid w:val="7C8801D2"/>
    <w:rsid w:val="7CA32D0D"/>
    <w:rsid w:val="7CAC772C"/>
    <w:rsid w:val="7CB037D7"/>
    <w:rsid w:val="7CB40604"/>
    <w:rsid w:val="7CB850B5"/>
    <w:rsid w:val="7CC4785F"/>
    <w:rsid w:val="7CD33421"/>
    <w:rsid w:val="7D0479BB"/>
    <w:rsid w:val="7D0E3539"/>
    <w:rsid w:val="7D3339F6"/>
    <w:rsid w:val="7D3E682A"/>
    <w:rsid w:val="7D484871"/>
    <w:rsid w:val="7D626777"/>
    <w:rsid w:val="7D6E03EA"/>
    <w:rsid w:val="7D9546AE"/>
    <w:rsid w:val="7D9A73C6"/>
    <w:rsid w:val="7DB031CD"/>
    <w:rsid w:val="7DB45197"/>
    <w:rsid w:val="7DC10A8E"/>
    <w:rsid w:val="7DC41C06"/>
    <w:rsid w:val="7DD43858"/>
    <w:rsid w:val="7E006689"/>
    <w:rsid w:val="7E196621"/>
    <w:rsid w:val="7E2F2D7C"/>
    <w:rsid w:val="7E3154CD"/>
    <w:rsid w:val="7E676FB5"/>
    <w:rsid w:val="7E6B3732"/>
    <w:rsid w:val="7E6C7CD0"/>
    <w:rsid w:val="7E775AE2"/>
    <w:rsid w:val="7E7F3EC9"/>
    <w:rsid w:val="7E815F01"/>
    <w:rsid w:val="7E84235F"/>
    <w:rsid w:val="7E8A439E"/>
    <w:rsid w:val="7E927646"/>
    <w:rsid w:val="7E9E562F"/>
    <w:rsid w:val="7EA606E1"/>
    <w:rsid w:val="7EA91194"/>
    <w:rsid w:val="7EB241CF"/>
    <w:rsid w:val="7EC12132"/>
    <w:rsid w:val="7EC55FBF"/>
    <w:rsid w:val="7ECE019A"/>
    <w:rsid w:val="7EE509C7"/>
    <w:rsid w:val="7EF665B7"/>
    <w:rsid w:val="7F033AA0"/>
    <w:rsid w:val="7F0F4CF7"/>
    <w:rsid w:val="7F1328A0"/>
    <w:rsid w:val="7F2D5170"/>
    <w:rsid w:val="7F2F1B6A"/>
    <w:rsid w:val="7F6F594E"/>
    <w:rsid w:val="7F7454DE"/>
    <w:rsid w:val="7F7F745F"/>
    <w:rsid w:val="7F8305E7"/>
    <w:rsid w:val="7FA25D5B"/>
    <w:rsid w:val="7FD12EA0"/>
    <w:rsid w:val="7FD21323"/>
    <w:rsid w:val="7FD30259"/>
    <w:rsid w:val="7FDA7371"/>
    <w:rsid w:val="7FDF3FDE"/>
    <w:rsid w:val="7FE06497"/>
    <w:rsid w:val="7FE40DE4"/>
    <w:rsid w:val="7FF67067"/>
    <w:rsid w:val="7FF8337A"/>
    <w:rsid w:val="7FFE37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qFormat="1" w:unhideWhenUsed="0" w:uiPriority="1"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paragraph" w:styleId="3">
    <w:name w:val="heading 1"/>
    <w:basedOn w:val="1"/>
    <w:next w:val="4"/>
    <w:qFormat/>
    <w:uiPriority w:val="1"/>
    <w:pPr>
      <w:spacing w:line="702" w:lineRule="exact"/>
      <w:outlineLvl w:val="0"/>
    </w:pPr>
    <w:rPr>
      <w:rFonts w:ascii="Microsoft JhengHei" w:hAnsi="Microsoft JhengHei" w:eastAsia="Microsoft JhengHei" w:cs="Microsoft JhengHei"/>
      <w:b/>
      <w:bCs/>
      <w:sz w:val="44"/>
      <w:szCs w:val="44"/>
    </w:rPr>
  </w:style>
  <w:style w:type="paragraph" w:styleId="4">
    <w:name w:val="heading 2"/>
    <w:basedOn w:val="1"/>
    <w:next w:val="5"/>
    <w:link w:val="26"/>
    <w:qFormat/>
    <w:uiPriority w:val="1"/>
    <w:pPr>
      <w:ind w:left="801" w:hanging="401"/>
      <w:outlineLvl w:val="1"/>
    </w:pPr>
    <w:rPr>
      <w:rFonts w:ascii="Microsoft JhengHei" w:hAnsi="Microsoft JhengHei" w:eastAsia="Microsoft JhengHei" w:cs="Microsoft JhengHei"/>
      <w:b/>
      <w:bCs/>
      <w:sz w:val="32"/>
      <w:szCs w:val="32"/>
    </w:rPr>
  </w:style>
  <w:style w:type="paragraph" w:styleId="5">
    <w:name w:val="heading 3"/>
    <w:basedOn w:val="1"/>
    <w:next w:val="1"/>
    <w:link w:val="32"/>
    <w:qFormat/>
    <w:uiPriority w:val="1"/>
    <w:pPr>
      <w:ind w:left="1026" w:hanging="489"/>
      <w:outlineLvl w:val="2"/>
    </w:pPr>
    <w:rPr>
      <w:sz w:val="28"/>
      <w:szCs w:val="28"/>
    </w:rPr>
  </w:style>
  <w:style w:type="paragraph" w:styleId="6">
    <w:name w:val="heading 4"/>
    <w:basedOn w:val="1"/>
    <w:next w:val="1"/>
    <w:qFormat/>
    <w:uiPriority w:val="1"/>
    <w:pPr>
      <w:ind w:left="400" w:right="697" w:firstLine="479"/>
      <w:jc w:val="both"/>
      <w:outlineLvl w:val="3"/>
    </w:pPr>
    <w:rPr>
      <w:sz w:val="24"/>
      <w:szCs w:val="24"/>
    </w:rPr>
  </w:style>
  <w:style w:type="paragraph" w:styleId="7">
    <w:name w:val="heading 5"/>
    <w:basedOn w:val="1"/>
    <w:next w:val="1"/>
    <w:qFormat/>
    <w:uiPriority w:val="1"/>
    <w:pPr>
      <w:ind w:left="1348" w:hanging="526"/>
      <w:outlineLvl w:val="4"/>
    </w:pPr>
    <w:rPr>
      <w:rFonts w:ascii="Microsoft JhengHei" w:hAnsi="Microsoft JhengHei" w:eastAsia="Microsoft JhengHei" w:cs="Microsoft JhengHei"/>
      <w:b/>
      <w:bCs/>
      <w:sz w:val="21"/>
      <w:szCs w:val="21"/>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qFormat/>
    <w:uiPriority w:val="99"/>
    <w:pPr>
      <w:spacing w:line="440" w:lineRule="atLeast"/>
      <w:ind w:left="360" w:hanging="3"/>
    </w:pPr>
    <w:rPr>
      <w:sz w:val="24"/>
    </w:rPr>
  </w:style>
  <w:style w:type="paragraph" w:styleId="8">
    <w:name w:val="Document Map"/>
    <w:basedOn w:val="1"/>
    <w:link w:val="35"/>
    <w:qFormat/>
    <w:uiPriority w:val="0"/>
    <w:rPr>
      <w:sz w:val="18"/>
      <w:szCs w:val="18"/>
    </w:rPr>
  </w:style>
  <w:style w:type="paragraph" w:styleId="9">
    <w:name w:val="annotation text"/>
    <w:basedOn w:val="1"/>
    <w:qFormat/>
    <w:uiPriority w:val="0"/>
  </w:style>
  <w:style w:type="paragraph" w:styleId="10">
    <w:name w:val="Body Text 3"/>
    <w:basedOn w:val="1"/>
    <w:qFormat/>
    <w:uiPriority w:val="0"/>
    <w:rPr>
      <w:sz w:val="24"/>
      <w:szCs w:val="20"/>
    </w:rPr>
  </w:style>
  <w:style w:type="paragraph" w:styleId="11">
    <w:name w:val="Body Text"/>
    <w:basedOn w:val="1"/>
    <w:qFormat/>
    <w:uiPriority w:val="1"/>
    <w:rPr>
      <w:sz w:val="21"/>
      <w:szCs w:val="21"/>
    </w:rPr>
  </w:style>
  <w:style w:type="paragraph" w:styleId="12">
    <w:name w:val="Body Text Indent"/>
    <w:basedOn w:val="1"/>
    <w:qFormat/>
    <w:uiPriority w:val="0"/>
    <w:pPr>
      <w:ind w:firstLine="560" w:firstLineChars="200"/>
    </w:pPr>
    <w:rPr>
      <w:sz w:val="28"/>
    </w:rPr>
  </w:style>
  <w:style w:type="paragraph" w:styleId="13">
    <w:name w:val="toc 3"/>
    <w:basedOn w:val="1"/>
    <w:next w:val="1"/>
    <w:qFormat/>
    <w:uiPriority w:val="1"/>
    <w:pPr>
      <w:spacing w:before="2"/>
      <w:ind w:left="1610" w:hanging="370"/>
    </w:pPr>
    <w:rPr>
      <w:sz w:val="21"/>
      <w:szCs w:val="21"/>
    </w:rPr>
  </w:style>
  <w:style w:type="paragraph" w:styleId="14">
    <w:name w:val="Balloon Text"/>
    <w:basedOn w:val="1"/>
    <w:link w:val="36"/>
    <w:qFormat/>
    <w:uiPriority w:val="0"/>
    <w:rPr>
      <w:sz w:val="18"/>
      <w:szCs w:val="18"/>
    </w:rPr>
  </w:style>
  <w:style w:type="paragraph" w:styleId="15">
    <w:name w:val="footer"/>
    <w:basedOn w:val="1"/>
    <w:qFormat/>
    <w:uiPriority w:val="0"/>
    <w:pPr>
      <w:tabs>
        <w:tab w:val="center" w:pos="4153"/>
        <w:tab w:val="right" w:pos="8306"/>
      </w:tabs>
      <w:snapToGrid w:val="0"/>
    </w:pPr>
    <w:rPr>
      <w:sz w:val="18"/>
    </w:rPr>
  </w:style>
  <w:style w:type="paragraph" w:styleId="1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17">
    <w:name w:val="toc 1"/>
    <w:basedOn w:val="1"/>
    <w:next w:val="1"/>
    <w:qFormat/>
    <w:uiPriority w:val="1"/>
    <w:pPr>
      <w:spacing w:before="2"/>
      <w:ind w:left="400"/>
    </w:pPr>
    <w:rPr>
      <w:sz w:val="21"/>
      <w:szCs w:val="21"/>
    </w:rPr>
  </w:style>
  <w:style w:type="paragraph" w:styleId="18">
    <w:name w:val="toc 2"/>
    <w:basedOn w:val="1"/>
    <w:next w:val="1"/>
    <w:qFormat/>
    <w:uiPriority w:val="1"/>
    <w:pPr>
      <w:spacing w:before="2"/>
      <w:ind w:left="1084" w:hanging="264"/>
    </w:pPr>
    <w:rPr>
      <w:sz w:val="21"/>
      <w:szCs w:val="21"/>
    </w:rPr>
  </w:style>
  <w:style w:type="paragraph" w:styleId="19">
    <w:name w:val="Normal (Web)"/>
    <w:basedOn w:val="1"/>
    <w:unhideWhenUsed/>
    <w:qFormat/>
    <w:uiPriority w:val="99"/>
    <w:rPr>
      <w:rFonts w:ascii="Times New Roman" w:hAnsi="Times New Roman"/>
      <w:sz w:val="24"/>
    </w:rPr>
  </w:style>
  <w:style w:type="paragraph" w:styleId="20">
    <w:name w:val="Title"/>
    <w:basedOn w:val="1"/>
    <w:qFormat/>
    <w:uiPriority w:val="0"/>
    <w:pPr>
      <w:adjustRightInd w:val="0"/>
      <w:spacing w:before="240" w:after="60" w:line="420" w:lineRule="atLeast"/>
      <w:jc w:val="center"/>
      <w:textAlignment w:val="baseline"/>
      <w:outlineLvl w:val="0"/>
    </w:pPr>
    <w:rPr>
      <w:rFonts w:ascii="Arial" w:hAnsi="Arial"/>
      <w:b/>
      <w:sz w:val="32"/>
      <w:szCs w:val="20"/>
    </w:rPr>
  </w:style>
  <w:style w:type="paragraph" w:styleId="21">
    <w:name w:val="Body Text First Indent"/>
    <w:basedOn w:val="11"/>
    <w:qFormat/>
    <w:uiPriority w:val="0"/>
    <w:pPr>
      <w:ind w:firstLine="420" w:firstLineChars="100"/>
    </w:pPr>
  </w:style>
  <w:style w:type="table" w:styleId="23">
    <w:name w:val="Table Grid"/>
    <w:basedOn w:val="2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5">
    <w:name w:val="annotation reference"/>
    <w:basedOn w:val="24"/>
    <w:qFormat/>
    <w:uiPriority w:val="0"/>
    <w:rPr>
      <w:rFonts w:cs="Times New Roman"/>
      <w:sz w:val="21"/>
    </w:rPr>
  </w:style>
  <w:style w:type="character" w:customStyle="1" w:styleId="26">
    <w:name w:val="标题 2 Char"/>
    <w:link w:val="4"/>
    <w:qFormat/>
    <w:uiPriority w:val="1"/>
    <w:rPr>
      <w:rFonts w:ascii="Microsoft JhengHei" w:hAnsi="Microsoft JhengHei" w:eastAsia="Microsoft JhengHei" w:cs="Microsoft JhengHei"/>
      <w:b/>
      <w:bCs/>
      <w:sz w:val="32"/>
      <w:szCs w:val="32"/>
      <w:lang w:val="zh-CN" w:eastAsia="zh-CN" w:bidi="zh-CN"/>
    </w:rPr>
  </w:style>
  <w:style w:type="table" w:customStyle="1" w:styleId="27">
    <w:name w:val="Table Normal"/>
    <w:unhideWhenUsed/>
    <w:qFormat/>
    <w:uiPriority w:val="2"/>
    <w:tblPr>
      <w:tblCellMar>
        <w:top w:w="0" w:type="dxa"/>
        <w:left w:w="0" w:type="dxa"/>
        <w:bottom w:w="0" w:type="dxa"/>
        <w:right w:w="0" w:type="dxa"/>
      </w:tblCellMar>
    </w:tblPr>
  </w:style>
  <w:style w:type="paragraph" w:customStyle="1" w:styleId="28">
    <w:name w:val="列出段落1"/>
    <w:basedOn w:val="1"/>
    <w:qFormat/>
    <w:uiPriority w:val="1"/>
    <w:pPr>
      <w:ind w:left="400" w:firstLine="420"/>
    </w:pPr>
  </w:style>
  <w:style w:type="paragraph" w:customStyle="1" w:styleId="29">
    <w:name w:val="Table Paragraph"/>
    <w:basedOn w:val="1"/>
    <w:qFormat/>
    <w:uiPriority w:val="1"/>
  </w:style>
  <w:style w:type="paragraph" w:customStyle="1" w:styleId="30">
    <w:name w:val="WPSOffice手动目录 1"/>
    <w:qFormat/>
    <w:uiPriority w:val="0"/>
    <w:rPr>
      <w:rFonts w:ascii="Times New Roman" w:hAnsi="Times New Roman" w:eastAsia="宋体" w:cs="Times New Roman"/>
      <w:lang w:val="en-US" w:eastAsia="zh-CN" w:bidi="ar-SA"/>
    </w:rPr>
  </w:style>
  <w:style w:type="paragraph" w:customStyle="1" w:styleId="31">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32">
    <w:name w:val="标题 3 Char"/>
    <w:link w:val="5"/>
    <w:qFormat/>
    <w:uiPriority w:val="1"/>
    <w:rPr>
      <w:rFonts w:ascii="宋体" w:hAnsi="宋体" w:eastAsia="宋体" w:cs="宋体"/>
      <w:sz w:val="28"/>
      <w:szCs w:val="28"/>
      <w:lang w:val="zh-CN" w:eastAsia="zh-CN" w:bidi="zh-CN"/>
    </w:rPr>
  </w:style>
  <w:style w:type="paragraph" w:customStyle="1" w:styleId="33">
    <w:name w:val="无间隔2"/>
    <w:qFormat/>
    <w:uiPriority w:val="1"/>
    <w:pPr>
      <w:widowControl w:val="0"/>
      <w:jc w:val="both"/>
    </w:pPr>
    <w:rPr>
      <w:rFonts w:ascii="Times New Roman" w:hAnsi="Times New Roman" w:eastAsia="宋体" w:cs="Times New Roman"/>
      <w:kern w:val="2"/>
      <w:sz w:val="21"/>
      <w:lang w:val="en-US" w:eastAsia="zh-CN" w:bidi="ar-SA"/>
    </w:rPr>
  </w:style>
  <w:style w:type="character" w:customStyle="1" w:styleId="34">
    <w:name w:val="font11"/>
    <w:basedOn w:val="24"/>
    <w:qFormat/>
    <w:uiPriority w:val="0"/>
    <w:rPr>
      <w:rFonts w:hint="eastAsia" w:ascii="宋体" w:hAnsi="宋体" w:eastAsia="宋体" w:cs="宋体"/>
      <w:color w:val="000000"/>
      <w:sz w:val="22"/>
      <w:szCs w:val="22"/>
      <w:u w:val="none"/>
    </w:rPr>
  </w:style>
  <w:style w:type="character" w:customStyle="1" w:styleId="35">
    <w:name w:val="文档结构图 Char"/>
    <w:basedOn w:val="24"/>
    <w:link w:val="8"/>
    <w:qFormat/>
    <w:uiPriority w:val="0"/>
    <w:rPr>
      <w:rFonts w:ascii="宋体" w:hAnsi="宋体" w:cs="宋体"/>
      <w:sz w:val="18"/>
      <w:szCs w:val="18"/>
      <w:lang w:val="zh-CN" w:bidi="zh-CN"/>
    </w:rPr>
  </w:style>
  <w:style w:type="character" w:customStyle="1" w:styleId="36">
    <w:name w:val="批注框文本 Char"/>
    <w:basedOn w:val="24"/>
    <w:link w:val="14"/>
    <w:qFormat/>
    <w:uiPriority w:val="0"/>
    <w:rPr>
      <w:rFonts w:ascii="宋体" w:hAnsi="宋体" w:cs="宋体"/>
      <w:sz w:val="18"/>
      <w:szCs w:val="18"/>
      <w:lang w:val="zh-CN" w:bidi="zh-CN"/>
    </w:rPr>
  </w:style>
  <w:style w:type="paragraph" w:customStyle="1" w:styleId="37">
    <w:name w:val="正文缩2"/>
    <w:qFormat/>
    <w:uiPriority w:val="0"/>
    <w:pPr>
      <w:spacing w:line="360" w:lineRule="auto"/>
      <w:ind w:firstLine="240" w:firstLineChars="100"/>
    </w:pPr>
    <w:rPr>
      <w:rFonts w:ascii="Times New Roman" w:hAnsi="Times New Roman" w:eastAsia="宋体" w:cs="Times New Roman"/>
      <w:color w:val="FF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53"/>
    <customShpInfo spid="_x0000_s2052"/>
    <customShpInfo spid="_x0000_s2051"/>
    <customShpInfo spid="_x0000_s2050"/>
    <customShpInfo spid="_x0000_s2049"/>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80</Pages>
  <Words>7015</Words>
  <Characters>39989</Characters>
  <Lines>333</Lines>
  <Paragraphs>93</Paragraphs>
  <TotalTime>79</TotalTime>
  <ScaleCrop>false</ScaleCrop>
  <LinksUpToDate>false</LinksUpToDate>
  <CharactersWithSpaces>46911</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2018-07-05T01:38:00Z</dcterms:created>
  <dc:creator>袁静</dc:creator>
  <cp:lastModifiedBy>lx88</cp:lastModifiedBy>
  <cp:lastPrinted>2021-07-15T06:39:17Z</cp:lastPrinted>
  <dcterms:modified xsi:type="dcterms:W3CDTF">2021-07-15T06:49:05Z</dcterms:modified>
  <dc:title>中华人民共和国</dc:title>
  <cp:revision>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2017-09-05T00:00:00Z</vt:filetime>
  </property>
  <property fmtid="{D5CDD505-2E9C-101B-9397-08002B2CF9AE}" pid="3" name="Creator">
    <vt:lpwstr>Microsoft® Word 2013</vt:lpwstr>
  </property>
  <property fmtid="{D5CDD505-2E9C-101B-9397-08002B2CF9AE}" pid="4" name="LastSaved">
    <vt:filetime>2018-07-05T00:00:00Z</vt:filetime>
  </property>
  <property fmtid="{D5CDD505-2E9C-101B-9397-08002B2CF9AE}" pid="5" name="KSOProductBuildVer">
    <vt:lpwstr>2052-11.1.0.10578</vt:lpwstr>
  </property>
  <property fmtid="{D5CDD505-2E9C-101B-9397-08002B2CF9AE}" pid="6" name="ICV">
    <vt:lpwstr>2D5392B7CE6644D6838F82A520ABC57C</vt:lpwstr>
  </property>
</Properties>
</file>